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仿宋" w:eastAsia="黑体"/>
          <w:color w:val="000000"/>
          <w:sz w:val="32"/>
          <w:szCs w:val="32"/>
          <w:lang w:val="en-US" w:eastAsia="zh-CN"/>
        </w:rPr>
      </w:pPr>
      <w:r>
        <w:rPr>
          <w:rFonts w:hint="eastAsia" w:ascii="黑体" w:hAnsi="仿宋" w:eastAsia="黑体"/>
          <w:color w:val="000000"/>
          <w:sz w:val="32"/>
          <w:szCs w:val="32"/>
        </w:rPr>
        <w:t>附件</w:t>
      </w:r>
      <w:r>
        <w:rPr>
          <w:rFonts w:hint="eastAsia" w:ascii="黑体" w:hAnsi="仿宋" w:eastAsia="黑体"/>
          <w:color w:val="000000"/>
          <w:sz w:val="32"/>
          <w:szCs w:val="32"/>
          <w:lang w:val="en-US" w:eastAsia="zh-CN"/>
        </w:rPr>
        <w:t>2</w:t>
      </w:r>
    </w:p>
    <w:p>
      <w:pPr>
        <w:spacing w:line="360" w:lineRule="auto"/>
        <w:jc w:val="center"/>
        <w:rPr>
          <w:rFonts w:ascii="Times New Roman" w:hAnsi="Times New Roman" w:eastAsia="仿宋_GB2312"/>
          <w:bCs/>
          <w:color w:val="000000"/>
          <w:sz w:val="52"/>
          <w:szCs w:val="52"/>
        </w:rPr>
      </w:pPr>
    </w:p>
    <w:p>
      <w:pPr>
        <w:spacing w:line="360" w:lineRule="auto"/>
        <w:jc w:val="center"/>
        <w:rPr>
          <w:rFonts w:ascii="Times New Roman" w:hAnsi="Times New Roman" w:eastAsia="仿宋_GB2312"/>
          <w:bCs/>
          <w:color w:val="000000"/>
          <w:sz w:val="52"/>
          <w:szCs w:val="52"/>
        </w:rPr>
      </w:pPr>
    </w:p>
    <w:p>
      <w:pPr>
        <w:spacing w:line="800" w:lineRule="exact"/>
        <w:jc w:val="center"/>
        <w:rPr>
          <w:rFonts w:ascii="黑体" w:hAnsi="黑体" w:eastAsia="黑体"/>
          <w:sz w:val="44"/>
          <w:szCs w:val="44"/>
        </w:rPr>
      </w:pPr>
      <w:bookmarkStart w:id="0" w:name="_Hlk47448541"/>
      <w:r>
        <w:rPr>
          <w:rFonts w:hint="eastAsia" w:ascii="黑体" w:hAnsi="黑体" w:eastAsia="黑体"/>
          <w:sz w:val="44"/>
          <w:szCs w:val="44"/>
        </w:rPr>
        <w:t>大连市绿色园区</w:t>
      </w:r>
    </w:p>
    <w:p>
      <w:pPr>
        <w:spacing w:line="800" w:lineRule="exact"/>
        <w:jc w:val="center"/>
        <w:rPr>
          <w:rFonts w:ascii="创艺简标宋" w:hAnsi="方正小标宋简体" w:eastAsia="创艺简标宋"/>
          <w:bCs/>
          <w:color w:val="000000"/>
          <w:sz w:val="44"/>
          <w:szCs w:val="44"/>
        </w:rPr>
      </w:pPr>
    </w:p>
    <w:p>
      <w:pPr>
        <w:spacing w:line="500" w:lineRule="atLeast"/>
        <w:jc w:val="center"/>
        <w:rPr>
          <w:rFonts w:ascii="黑体" w:hAnsi="黑体" w:eastAsia="黑体"/>
          <w:bCs/>
          <w:sz w:val="84"/>
          <w:szCs w:val="84"/>
        </w:rPr>
      </w:pPr>
      <w:r>
        <w:rPr>
          <w:rFonts w:hint="eastAsia" w:ascii="黑体" w:hAnsi="黑体" w:eastAsia="黑体"/>
          <w:bCs/>
          <w:sz w:val="84"/>
          <w:szCs w:val="84"/>
        </w:rPr>
        <w:t>自评价报告</w:t>
      </w:r>
    </w:p>
    <w:p>
      <w:pPr>
        <w:spacing w:line="600" w:lineRule="exact"/>
        <w:jc w:val="both"/>
        <w:rPr>
          <w:rFonts w:ascii="Times New Roman" w:hAnsi="Times New Roman" w:eastAsia="仿宋_GB2312"/>
          <w:color w:val="000000"/>
          <w:sz w:val="32"/>
          <w:szCs w:val="32"/>
        </w:rPr>
      </w:pPr>
    </w:p>
    <w:p>
      <w:pPr>
        <w:spacing w:line="600" w:lineRule="exact"/>
        <w:jc w:val="center"/>
        <w:rPr>
          <w:rFonts w:ascii="Times New Roman" w:hAnsi="Times New Roman" w:eastAsia="仿宋_GB2312"/>
          <w:color w:val="000000"/>
          <w:sz w:val="32"/>
          <w:szCs w:val="32"/>
        </w:rPr>
      </w:pPr>
    </w:p>
    <w:p>
      <w:pPr>
        <w:spacing w:line="7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园区名称</w:t>
      </w:r>
      <w:r>
        <w:rPr>
          <w:rFonts w:ascii="Times New Roman" w:hAnsi="Times New Roman" w:eastAsia="仿宋_GB2312"/>
          <w:color w:val="000000"/>
          <w:sz w:val="32"/>
          <w:szCs w:val="32"/>
        </w:rPr>
        <w:t>：</w:t>
      </w:r>
      <w:r>
        <w:rPr>
          <w:rFonts w:ascii="Times New Roman" w:hAnsi="Times New Roman" w:eastAsia="仿宋_GB2312"/>
          <w:color w:val="000000"/>
          <w:sz w:val="32"/>
          <w:szCs w:val="32"/>
          <w:u w:val="single"/>
        </w:rPr>
        <w:t xml:space="preserve">                            </w:t>
      </w:r>
      <w:bookmarkStart w:id="1" w:name="_GoBack"/>
      <w:bookmarkEnd w:id="1"/>
      <w:r>
        <w:rPr>
          <w:rFonts w:ascii="Times New Roman" w:hAnsi="Times New Roman" w:eastAsia="仿宋_GB2312"/>
          <w:color w:val="000000"/>
          <w:sz w:val="32"/>
          <w:szCs w:val="32"/>
          <w:u w:val="single"/>
        </w:rPr>
        <w:t xml:space="preserve">        </w:t>
      </w:r>
    </w:p>
    <w:p>
      <w:pPr>
        <w:spacing w:line="7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园区</w:t>
      </w:r>
      <w:r>
        <w:rPr>
          <w:rFonts w:ascii="Times New Roman" w:hAnsi="Times New Roman" w:eastAsia="仿宋_GB2312"/>
          <w:color w:val="000000"/>
          <w:sz w:val="32"/>
          <w:szCs w:val="32"/>
        </w:rPr>
        <w:t>地址：</w:t>
      </w:r>
      <w:r>
        <w:rPr>
          <w:rFonts w:ascii="Times New Roman" w:hAnsi="Times New Roman" w:eastAsia="仿宋_GB2312"/>
          <w:color w:val="000000"/>
          <w:sz w:val="32"/>
          <w:szCs w:val="32"/>
          <w:u w:val="single"/>
        </w:rPr>
        <w:t xml:space="preserve">                                    </w:t>
      </w:r>
    </w:p>
    <w:p>
      <w:pPr>
        <w:spacing w:line="7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联</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系</w:t>
      </w: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人：</w:t>
      </w:r>
      <w:bookmarkEnd w:id="0"/>
      <w:r>
        <w:rPr>
          <w:rFonts w:ascii="Times New Roman" w:hAnsi="Times New Roman" w:eastAsia="仿宋_GB2312"/>
          <w:color w:val="000000"/>
          <w:sz w:val="32"/>
          <w:szCs w:val="32"/>
          <w:u w:val="single"/>
        </w:rPr>
        <w:t xml:space="preserve">                                    </w:t>
      </w:r>
    </w:p>
    <w:p>
      <w:pPr>
        <w:spacing w:line="7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联系电话：</w:t>
      </w:r>
      <w:r>
        <w:rPr>
          <w:rFonts w:ascii="Times New Roman" w:hAnsi="Times New Roman" w:eastAsia="仿宋_GB2312"/>
          <w:color w:val="000000"/>
          <w:sz w:val="32"/>
          <w:szCs w:val="32"/>
          <w:u w:val="single"/>
        </w:rPr>
        <w:t xml:space="preserve"> </w:t>
      </w:r>
      <w:r>
        <w:rPr>
          <w:rFonts w:hint="eastAsia"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u w:val="single"/>
        </w:rPr>
        <w:t xml:space="preserve">               </w:t>
      </w:r>
    </w:p>
    <w:p>
      <w:pPr>
        <w:spacing w:line="800" w:lineRule="exact"/>
        <w:rPr>
          <w:rFonts w:ascii="Times New Roman" w:hAnsi="Times New Roman" w:eastAsia="仿宋_GB2312"/>
          <w:bCs/>
          <w:color w:val="000000"/>
          <w:sz w:val="32"/>
          <w:szCs w:val="32"/>
        </w:rPr>
      </w:pPr>
    </w:p>
    <w:p>
      <w:pPr>
        <w:widowControl/>
        <w:spacing w:line="360" w:lineRule="auto"/>
        <w:jc w:val="left"/>
        <w:rPr>
          <w:rFonts w:ascii="楷体_GB2312" w:hAnsi="Times New Roman" w:eastAsia="楷体_GB2312"/>
          <w:b/>
          <w:color w:val="000000"/>
          <w:sz w:val="30"/>
        </w:rPr>
      </w:pPr>
    </w:p>
    <w:p>
      <w:pPr>
        <w:widowControl/>
        <w:spacing w:line="360" w:lineRule="auto"/>
        <w:jc w:val="left"/>
        <w:rPr>
          <w:rFonts w:ascii="楷体_GB2312" w:hAnsi="Times New Roman" w:eastAsia="楷体_GB2312"/>
          <w:b/>
          <w:color w:val="000000"/>
          <w:sz w:val="30"/>
        </w:rPr>
      </w:pPr>
    </w:p>
    <w:p>
      <w:pPr>
        <w:widowControl/>
        <w:spacing w:line="360" w:lineRule="auto"/>
        <w:jc w:val="center"/>
        <w:rPr>
          <w:rFonts w:ascii="Times New Roman" w:hAnsi="Times New Roman" w:eastAsia="仿宋"/>
          <w:sz w:val="32"/>
          <w:szCs w:val="32"/>
        </w:rPr>
      </w:pPr>
      <w:r>
        <w:rPr>
          <w:rFonts w:hint="eastAsia" w:ascii="Times New Roman" w:hAnsi="Times New Roman" w:eastAsia="仿宋"/>
          <w:sz w:val="32"/>
          <w:szCs w:val="32"/>
        </w:rPr>
        <w:t>大连市工业和信息化局制</w:t>
      </w:r>
    </w:p>
    <w:p>
      <w:pPr>
        <w:widowControl/>
        <w:spacing w:line="360" w:lineRule="auto"/>
        <w:jc w:val="center"/>
        <w:rPr>
          <w:rFonts w:ascii="Times New Roman" w:hAnsi="Times New Roman" w:eastAsia="仿宋"/>
          <w:sz w:val="32"/>
          <w:szCs w:val="32"/>
        </w:rPr>
      </w:pPr>
      <w:r>
        <w:rPr>
          <w:rFonts w:hint="eastAsia" w:ascii="Times New Roman" w:hAnsi="Times New Roman" w:eastAsia="仿宋"/>
          <w:sz w:val="32"/>
          <w:szCs w:val="32"/>
        </w:rPr>
        <w:t>20  年  月  日</w:t>
      </w:r>
    </w:p>
    <w:p>
      <w:pPr>
        <w:widowControl/>
        <w:spacing w:line="360" w:lineRule="auto"/>
        <w:jc w:val="center"/>
        <w:rPr>
          <w:rFonts w:ascii="楷体_GB2312" w:hAnsi="Times New Roman" w:eastAsia="楷体_GB2312"/>
          <w:bCs/>
          <w:color w:val="000000"/>
          <w:sz w:val="30"/>
        </w:rPr>
        <w:sectPr>
          <w:pgSz w:w="11906" w:h="16838"/>
          <w:pgMar w:top="2098" w:right="1474" w:bottom="1814" w:left="1588" w:header="851" w:footer="992" w:gutter="0"/>
          <w:cols w:space="720" w:num="1"/>
          <w:docGrid w:type="lines" w:linePitch="312" w:charSpace="0"/>
        </w:sectPr>
      </w:pPr>
    </w:p>
    <w:p>
      <w:pPr>
        <w:pStyle w:val="4"/>
        <w:widowControl/>
        <w:shd w:val="clear" w:color="auto" w:fill="FFFFFF"/>
        <w:spacing w:before="0" w:beforeAutospacing="0" w:after="0" w:afterAutospacing="0"/>
        <w:jc w:val="center"/>
        <w:outlineLvl w:val="0"/>
        <w:rPr>
          <w:rFonts w:ascii="仿宋" w:hAnsi="仿宋" w:eastAsia="仿宋" w:cs="Helvetica Neue"/>
          <w:color w:val="000000"/>
        </w:rPr>
      </w:pPr>
      <w:r>
        <w:rPr>
          <w:rFonts w:hint="eastAsia" w:ascii="黑体" w:hAnsi="黑体" w:eastAsia="黑体"/>
          <w:color w:val="000000"/>
          <w:sz w:val="32"/>
          <w:szCs w:val="32"/>
        </w:rPr>
        <w:t>一、</w:t>
      </w:r>
      <w:r>
        <w:rPr>
          <w:rFonts w:ascii="黑体" w:hAnsi="黑体" w:eastAsia="黑体"/>
          <w:color w:val="000000"/>
          <w:sz w:val="32"/>
          <w:szCs w:val="32"/>
        </w:rPr>
        <w:t>基本信息表</w:t>
      </w:r>
    </w:p>
    <w:tbl>
      <w:tblPr>
        <w:tblStyle w:val="5"/>
        <w:tblpPr w:leftFromText="180" w:rightFromText="180" w:vertAnchor="text" w:horzAnchor="margin" w:tblpXSpec="center" w:tblpY="127"/>
        <w:tblW w:w="9036" w:type="dxa"/>
        <w:jc w:val="center"/>
        <w:tblLayout w:type="fixed"/>
        <w:tblCellMar>
          <w:top w:w="0" w:type="dxa"/>
          <w:left w:w="0" w:type="dxa"/>
          <w:bottom w:w="0" w:type="dxa"/>
          <w:right w:w="0" w:type="dxa"/>
        </w:tblCellMar>
      </w:tblPr>
      <w:tblGrid>
        <w:gridCol w:w="1806"/>
        <w:gridCol w:w="1276"/>
        <w:gridCol w:w="1418"/>
        <w:gridCol w:w="850"/>
        <w:gridCol w:w="327"/>
        <w:gridCol w:w="1138"/>
        <w:gridCol w:w="2221"/>
      </w:tblGrid>
      <w:tr>
        <w:tblPrEx>
          <w:tblCellMar>
            <w:top w:w="0" w:type="dxa"/>
            <w:left w:w="0" w:type="dxa"/>
            <w:bottom w:w="0" w:type="dxa"/>
            <w:right w:w="0" w:type="dxa"/>
          </w:tblCellMar>
        </w:tblPrEx>
        <w:trPr>
          <w:cantSplit/>
          <w:trHeight w:val="567" w:hRule="atLeast"/>
          <w:jc w:val="center"/>
        </w:trPr>
        <w:tc>
          <w:tcPr>
            <w:tcW w:w="18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园区名称</w:t>
            </w:r>
          </w:p>
        </w:tc>
        <w:tc>
          <w:tcPr>
            <w:tcW w:w="7230"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_GB2312"/>
                <w:color w:val="000000"/>
                <w:sz w:val="24"/>
                <w:szCs w:val="24"/>
              </w:rPr>
            </w:pPr>
            <w:r>
              <w:rPr>
                <w:rFonts w:hint="eastAsia" w:ascii="Times New Roman" w:hAnsi="Times New Roman" w:eastAsia="仿宋" w:cs="宋体"/>
                <w:color w:val="000000"/>
                <w:sz w:val="24"/>
                <w:szCs w:val="24"/>
              </w:rPr>
              <w:t>园区级别</w:t>
            </w:r>
          </w:p>
        </w:tc>
        <w:tc>
          <w:tcPr>
            <w:tcW w:w="3544"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10"/>
              <w:numPr>
                <w:ilvl w:val="255"/>
                <w:numId w:val="0"/>
              </w:numPr>
              <w:adjustRightInd w:val="0"/>
              <w:snapToGrid w:val="0"/>
              <w:rPr>
                <w:rFonts w:ascii="Times New Roman" w:hAnsi="Times New Roman" w:eastAsia="仿宋" w:cs="??_GB2312"/>
                <w:color w:val="000000"/>
                <w:sz w:val="24"/>
                <w:szCs w:val="24"/>
              </w:rPr>
            </w:pPr>
            <w:r>
              <w:rPr>
                <w:rFonts w:hint="eastAsia" w:ascii="Times New Roman" w:hAnsi="Times New Roman" w:eastAsia="仿宋" w:cs="??_GB2312"/>
                <w:color w:val="000000"/>
                <w:sz w:val="24"/>
                <w:szCs w:val="24"/>
              </w:rPr>
              <w:t xml:space="preserve">□ </w:t>
            </w:r>
            <w:r>
              <w:rPr>
                <w:rFonts w:hint="eastAsia" w:ascii="Times New Roman" w:hAnsi="Times New Roman" w:eastAsia="仿宋" w:cs="宋体"/>
                <w:color w:val="000000"/>
                <w:sz w:val="24"/>
                <w:szCs w:val="24"/>
              </w:rPr>
              <w:t xml:space="preserve">国家级 </w:t>
            </w:r>
            <w:r>
              <w:rPr>
                <w:rFonts w:hint="eastAsia" w:ascii="Times New Roman" w:hAnsi="Times New Roman" w:eastAsia="仿宋" w:cs="??_GB2312"/>
                <w:color w:val="000000"/>
                <w:sz w:val="24"/>
                <w:szCs w:val="24"/>
              </w:rPr>
              <w:t xml:space="preserve">□ </w:t>
            </w:r>
            <w:r>
              <w:rPr>
                <w:rFonts w:hint="eastAsia" w:ascii="Times New Roman" w:hAnsi="Times New Roman" w:eastAsia="仿宋" w:cs="宋体"/>
                <w:color w:val="000000"/>
                <w:sz w:val="24"/>
                <w:szCs w:val="24"/>
              </w:rPr>
              <w:t xml:space="preserve">省级 </w:t>
            </w:r>
            <w:r>
              <w:rPr>
                <w:rFonts w:hint="eastAsia" w:ascii="Times New Roman" w:hAnsi="Times New Roman" w:eastAsia="仿宋" w:cs="??_GB2312"/>
                <w:color w:val="000000"/>
                <w:sz w:val="24"/>
                <w:szCs w:val="24"/>
              </w:rPr>
              <w:sym w:font="Wingdings 2" w:char="00A3"/>
            </w:r>
            <w:r>
              <w:rPr>
                <w:rFonts w:ascii="Times New Roman" w:hAnsi="Times New Roman" w:eastAsia="仿宋" w:cs="??_GB2312"/>
                <w:color w:val="000000"/>
                <w:sz w:val="24"/>
                <w:szCs w:val="24"/>
              </w:rPr>
              <w:t xml:space="preserve"> </w:t>
            </w:r>
            <w:r>
              <w:rPr>
                <w:rFonts w:hint="eastAsia" w:ascii="Times New Roman" w:hAnsi="Times New Roman" w:eastAsia="仿宋" w:cs="??_GB2312"/>
                <w:color w:val="000000"/>
                <w:sz w:val="24"/>
                <w:szCs w:val="24"/>
              </w:rPr>
              <w:t>市级</w:t>
            </w:r>
          </w:p>
        </w:tc>
        <w:tc>
          <w:tcPr>
            <w:tcW w:w="146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_GB2312"/>
                <w:color w:val="000000"/>
                <w:sz w:val="24"/>
                <w:szCs w:val="24"/>
              </w:rPr>
            </w:pPr>
            <w:r>
              <w:rPr>
                <w:rFonts w:hint="eastAsia" w:ascii="Times New Roman" w:hAnsi="Times New Roman" w:eastAsia="仿宋" w:cs="宋体"/>
                <w:color w:val="000000"/>
                <w:sz w:val="24"/>
                <w:szCs w:val="24"/>
              </w:rPr>
              <w:t>园区类型</w:t>
            </w:r>
          </w:p>
        </w:tc>
        <w:tc>
          <w:tcPr>
            <w:tcW w:w="222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_GB2312"/>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_GB2312"/>
                <w:color w:val="000000"/>
                <w:sz w:val="24"/>
                <w:szCs w:val="24"/>
              </w:rPr>
            </w:pPr>
            <w:r>
              <w:rPr>
                <w:rFonts w:hint="eastAsia" w:ascii="Times New Roman" w:hAnsi="Times New Roman" w:eastAsia="仿宋" w:cs="宋体"/>
                <w:color w:val="000000"/>
                <w:kern w:val="0"/>
                <w:sz w:val="24"/>
                <w:szCs w:val="24"/>
              </w:rPr>
              <w:t>通讯地址/邮编</w:t>
            </w:r>
          </w:p>
        </w:tc>
        <w:tc>
          <w:tcPr>
            <w:tcW w:w="7230" w:type="dxa"/>
            <w:gridSpan w:val="6"/>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_GB2312"/>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园区负责人</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姓名</w:t>
            </w:r>
          </w:p>
        </w:tc>
        <w:tc>
          <w:tcPr>
            <w:tcW w:w="14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c>
          <w:tcPr>
            <w:tcW w:w="1177"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职务</w:t>
            </w:r>
          </w:p>
        </w:tc>
        <w:tc>
          <w:tcPr>
            <w:tcW w:w="335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s="宋体"/>
                <w:color w:val="000000"/>
              </w:rPr>
            </w:pP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s="宋体"/>
                <w:color w:val="000000"/>
              </w:rPr>
            </w:pPr>
            <w:r>
              <w:rPr>
                <w:rFonts w:hint="eastAsia" w:ascii="Times New Roman" w:hAnsi="Times New Roman" w:eastAsia="仿宋" w:cs="宋体"/>
                <w:color w:val="000000"/>
              </w:rPr>
              <w:t>联系电话</w:t>
            </w:r>
          </w:p>
        </w:tc>
        <w:tc>
          <w:tcPr>
            <w:tcW w:w="141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c>
          <w:tcPr>
            <w:tcW w:w="1177"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s="宋体"/>
                <w:color w:val="000000"/>
              </w:rPr>
            </w:pPr>
            <w:r>
              <w:rPr>
                <w:rFonts w:hint="eastAsia" w:ascii="Times New Roman" w:hAnsi="Times New Roman" w:eastAsia="仿宋" w:cs="宋体"/>
                <w:color w:val="000000"/>
              </w:rPr>
              <w:t>手机号码</w:t>
            </w:r>
          </w:p>
        </w:tc>
        <w:tc>
          <w:tcPr>
            <w:tcW w:w="3359"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宋体"/>
                <w:color w:val="000000"/>
                <w:sz w:val="24"/>
                <w:szCs w:val="24"/>
              </w:rPr>
            </w:pPr>
            <w:r>
              <w:rPr>
                <w:rFonts w:hint="eastAsia" w:ascii="Times New Roman" w:hAnsi="Times New Roman" w:eastAsia="仿宋" w:cs="宋体"/>
                <w:color w:val="000000"/>
                <w:sz w:val="24"/>
                <w:szCs w:val="24"/>
              </w:rPr>
              <w:t>园区联系人</w:t>
            </w: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s="宋体"/>
                <w:color w:val="000000"/>
              </w:rPr>
            </w:pPr>
            <w:r>
              <w:rPr>
                <w:rFonts w:hint="eastAsia" w:ascii="Times New Roman" w:hAnsi="Times New Roman" w:eastAsia="仿宋" w:cs="宋体"/>
                <w:color w:val="000000"/>
              </w:rPr>
              <w:t>姓名</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c>
          <w:tcPr>
            <w:tcW w:w="11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s="宋体"/>
                <w:color w:val="000000"/>
              </w:rPr>
            </w:pPr>
            <w:r>
              <w:rPr>
                <w:rFonts w:hint="eastAsia" w:ascii="Times New Roman" w:hAnsi="Times New Roman" w:eastAsia="仿宋" w:cs="宋体"/>
                <w:color w:val="000000"/>
              </w:rPr>
              <w:t>职务</w:t>
            </w:r>
          </w:p>
        </w:tc>
        <w:tc>
          <w:tcPr>
            <w:tcW w:w="335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r>
      <w:tr>
        <w:tblPrEx>
          <w:tblCellMar>
            <w:top w:w="0" w:type="dxa"/>
            <w:left w:w="0" w:type="dxa"/>
            <w:bottom w:w="0" w:type="dxa"/>
            <w:right w:w="0" w:type="dxa"/>
          </w:tblCellMar>
        </w:tblPrEx>
        <w:trPr>
          <w:cantSplit/>
          <w:trHeight w:val="567" w:hRule="atLeast"/>
          <w:jc w:val="center"/>
        </w:trPr>
        <w:tc>
          <w:tcPr>
            <w:tcW w:w="1806" w:type="dxa"/>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adjustRightInd w:val="0"/>
              <w:snapToGrid w:val="0"/>
              <w:jc w:val="center"/>
              <w:rPr>
                <w:rFonts w:ascii="Times New Roman" w:hAnsi="Times New Roman" w:eastAsia="仿宋" w:cs="Helvetica Neue"/>
                <w:color w:val="000000"/>
                <w:sz w:val="24"/>
                <w:szCs w:val="24"/>
              </w:rPr>
            </w:pPr>
          </w:p>
        </w:tc>
        <w:tc>
          <w:tcPr>
            <w:tcW w:w="1276"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联系电话</w:t>
            </w:r>
          </w:p>
        </w:tc>
        <w:tc>
          <w:tcPr>
            <w:tcW w:w="1418" w:type="dxa"/>
            <w:tcBorders>
              <w:top w:val="nil"/>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c>
          <w:tcPr>
            <w:tcW w:w="1177"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jc w:val="center"/>
              <w:rPr>
                <w:rFonts w:ascii="Times New Roman" w:hAnsi="Times New Roman" w:eastAsia="仿宋"/>
                <w:color w:val="000000"/>
              </w:rPr>
            </w:pPr>
            <w:r>
              <w:rPr>
                <w:rFonts w:hint="eastAsia" w:ascii="Times New Roman" w:hAnsi="Times New Roman" w:eastAsia="仿宋" w:cs="宋体"/>
                <w:color w:val="000000"/>
              </w:rPr>
              <w:t>手机号码</w:t>
            </w:r>
          </w:p>
        </w:tc>
        <w:tc>
          <w:tcPr>
            <w:tcW w:w="3359"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widowControl/>
              <w:adjustRightInd w:val="0"/>
              <w:snapToGrid w:val="0"/>
              <w:jc w:val="center"/>
              <w:rPr>
                <w:rFonts w:ascii="Times New Roman" w:hAnsi="Times New Roman" w:eastAsia="仿宋" w:cs="Helvetica Neue"/>
                <w:color w:val="000000"/>
                <w:sz w:val="24"/>
                <w:szCs w:val="24"/>
              </w:rPr>
            </w:pPr>
          </w:p>
        </w:tc>
      </w:tr>
      <w:tr>
        <w:tblPrEx>
          <w:tblCellMar>
            <w:top w:w="0" w:type="dxa"/>
            <w:left w:w="0" w:type="dxa"/>
            <w:bottom w:w="0" w:type="dxa"/>
            <w:right w:w="0" w:type="dxa"/>
          </w:tblCellMar>
        </w:tblPrEx>
        <w:trPr>
          <w:cantSplit/>
          <w:trHeight w:val="3179" w:hRule="atLeast"/>
          <w:jc w:val="center"/>
        </w:trPr>
        <w:tc>
          <w:tcPr>
            <w:tcW w:w="1806"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widowControl/>
              <w:adjustRightInd w:val="0"/>
              <w:snapToGrid w:val="0"/>
              <w:spacing w:before="0" w:beforeAutospacing="0" w:after="0" w:afterAutospacing="0"/>
              <w:ind w:firstLine="240" w:firstLineChars="100"/>
              <w:jc w:val="both"/>
              <w:rPr>
                <w:rFonts w:ascii="Times New Roman" w:hAnsi="Times New Roman" w:eastAsia="仿宋" w:cs="宋体"/>
                <w:color w:val="000000"/>
              </w:rPr>
            </w:pPr>
            <w:r>
              <w:rPr>
                <w:rFonts w:hint="eastAsia" w:ascii="Times New Roman" w:hAnsi="Times New Roman" w:eastAsia="仿宋" w:cs="宋体"/>
                <w:color w:val="000000"/>
              </w:rPr>
              <w:t>园区简介</w:t>
            </w:r>
          </w:p>
        </w:tc>
        <w:tc>
          <w:tcPr>
            <w:tcW w:w="7230" w:type="dxa"/>
            <w:gridSpan w:val="6"/>
            <w:tcBorders>
              <w:top w:val="single" w:color="auto" w:sz="6" w:space="0"/>
              <w:left w:val="single" w:color="auto" w:sz="6" w:space="0"/>
              <w:bottom w:val="single" w:color="auto" w:sz="6" w:space="0"/>
              <w:right w:val="single" w:color="auto" w:sz="6" w:space="0"/>
            </w:tcBorders>
            <w:shd w:val="clear" w:color="auto" w:fill="FFFFFF"/>
            <w:vAlign w:val="center"/>
          </w:tcPr>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p>
            <w:pPr>
              <w:pStyle w:val="4"/>
              <w:widowControl/>
              <w:adjustRightInd w:val="0"/>
              <w:snapToGrid w:val="0"/>
              <w:spacing w:before="0" w:beforeAutospacing="0" w:after="0" w:afterAutospacing="0"/>
              <w:rPr>
                <w:rFonts w:ascii="Times New Roman" w:hAnsi="Times New Roman" w:eastAsia="仿宋" w:cs="宋体"/>
                <w:color w:val="000000"/>
              </w:rPr>
            </w:pPr>
          </w:p>
        </w:tc>
      </w:tr>
      <w:tr>
        <w:tblPrEx>
          <w:tblCellMar>
            <w:top w:w="0" w:type="dxa"/>
            <w:left w:w="0" w:type="dxa"/>
            <w:bottom w:w="0" w:type="dxa"/>
            <w:right w:w="0" w:type="dxa"/>
          </w:tblCellMar>
        </w:tblPrEx>
        <w:trPr>
          <w:cantSplit/>
          <w:trHeight w:val="2164" w:hRule="atLeast"/>
          <w:jc w:val="center"/>
        </w:trPr>
        <w:tc>
          <w:tcPr>
            <w:tcW w:w="9036" w:type="dxa"/>
            <w:gridSpan w:val="7"/>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widowControl/>
              <w:spacing w:line="360" w:lineRule="auto"/>
              <w:rPr>
                <w:rFonts w:ascii="Times New Roman" w:hAnsi="Times New Roman" w:eastAsia="仿宋"/>
                <w:b/>
                <w:kern w:val="0"/>
                <w:sz w:val="24"/>
                <w:szCs w:val="24"/>
              </w:rPr>
            </w:pPr>
            <w:r>
              <w:rPr>
                <w:rFonts w:hint="eastAsia" w:ascii="Times New Roman" w:hAnsi="Times New Roman" w:eastAsia="仿宋"/>
                <w:b/>
                <w:kern w:val="0"/>
                <w:sz w:val="24"/>
                <w:szCs w:val="24"/>
              </w:rPr>
              <w:t>材料真实性承诺：</w:t>
            </w:r>
          </w:p>
          <w:p>
            <w:pPr>
              <w:widowControl/>
              <w:spacing w:line="360" w:lineRule="auto"/>
              <w:ind w:firstLine="496" w:firstLineChars="207"/>
              <w:rPr>
                <w:rFonts w:ascii="Times New Roman" w:hAnsi="Times New Roman" w:eastAsia="仿宋"/>
                <w:kern w:val="0"/>
                <w:sz w:val="24"/>
                <w:szCs w:val="24"/>
              </w:rPr>
            </w:pPr>
            <w:r>
              <w:rPr>
                <w:rFonts w:hint="eastAsia" w:ascii="Times New Roman" w:hAnsi="Times New Roman" w:eastAsia="仿宋"/>
                <w:kern w:val="0"/>
                <w:sz w:val="24"/>
                <w:szCs w:val="24"/>
              </w:rPr>
              <w:t>我单位郑重承诺：本次申报大连市绿色工业园区所提交的相关数据和信息均真实、有效，愿接受并积极配合主管部门的监督抽查和核验。如有违反，愿承担由此产生的相应的责任。</w:t>
            </w:r>
          </w:p>
          <w:p>
            <w:pPr>
              <w:pStyle w:val="4"/>
              <w:widowControl/>
              <w:adjustRightInd w:val="0"/>
              <w:snapToGrid w:val="0"/>
              <w:spacing w:before="0" w:beforeAutospacing="0" w:after="0" w:afterAutospacing="0"/>
              <w:jc w:val="both"/>
              <w:rPr>
                <w:rFonts w:ascii="Times New Roman" w:hAnsi="Times New Roman" w:eastAsia="仿宋"/>
                <w:color w:val="000000"/>
              </w:rPr>
            </w:pPr>
          </w:p>
          <w:p>
            <w:pPr>
              <w:pStyle w:val="4"/>
              <w:widowControl/>
              <w:adjustRightInd w:val="0"/>
              <w:snapToGrid w:val="0"/>
              <w:spacing w:before="0" w:beforeAutospacing="0" w:after="0" w:afterAutospacing="0"/>
              <w:jc w:val="both"/>
              <w:rPr>
                <w:rFonts w:ascii="Times New Roman" w:hAnsi="Times New Roman" w:eastAsia="仿宋"/>
                <w:color w:val="000000"/>
              </w:rPr>
            </w:pPr>
          </w:p>
          <w:p>
            <w:pPr>
              <w:widowControl/>
              <w:spacing w:line="360" w:lineRule="auto"/>
              <w:ind w:right="1302" w:rightChars="620"/>
              <w:jc w:val="right"/>
              <w:rPr>
                <w:rFonts w:ascii="Times New Roman" w:hAnsi="Times New Roman" w:eastAsia="仿宋"/>
                <w:b/>
                <w:kern w:val="0"/>
                <w:sz w:val="24"/>
                <w:szCs w:val="24"/>
              </w:rPr>
            </w:pPr>
            <w:r>
              <w:rPr>
                <w:rFonts w:hint="eastAsia" w:ascii="Times New Roman" w:hAnsi="Times New Roman" w:eastAsia="仿宋"/>
                <w:b/>
                <w:kern w:val="0"/>
                <w:sz w:val="24"/>
                <w:szCs w:val="24"/>
              </w:rPr>
              <w:t>负责人签字：</w:t>
            </w:r>
          </w:p>
          <w:p>
            <w:pPr>
              <w:widowControl/>
              <w:spacing w:line="360" w:lineRule="auto"/>
              <w:ind w:right="1302" w:rightChars="620"/>
              <w:jc w:val="right"/>
              <w:rPr>
                <w:rFonts w:ascii="Times New Roman" w:hAnsi="Times New Roman" w:eastAsia="仿宋"/>
                <w:b/>
                <w:kern w:val="0"/>
                <w:sz w:val="24"/>
                <w:szCs w:val="24"/>
              </w:rPr>
            </w:pPr>
            <w:r>
              <w:rPr>
                <w:rFonts w:hint="eastAsia" w:ascii="Times New Roman" w:hAnsi="Times New Roman" w:eastAsia="仿宋"/>
                <w:b/>
                <w:kern w:val="0"/>
                <w:sz w:val="24"/>
                <w:szCs w:val="24"/>
              </w:rPr>
              <w:t>单位：（公章）</w:t>
            </w:r>
          </w:p>
          <w:p>
            <w:pPr>
              <w:widowControl/>
              <w:spacing w:line="360" w:lineRule="auto"/>
              <w:ind w:right="1302" w:rightChars="620"/>
              <w:jc w:val="right"/>
              <w:rPr>
                <w:rFonts w:ascii="Times New Roman" w:hAnsi="Times New Roman" w:eastAsia="仿宋"/>
                <w:color w:val="000000"/>
              </w:rPr>
            </w:pPr>
            <w:r>
              <w:rPr>
                <w:rFonts w:hint="eastAsia" w:ascii="Times New Roman" w:hAnsi="Times New Roman" w:eastAsia="仿宋"/>
                <w:b/>
                <w:kern w:val="0"/>
                <w:sz w:val="24"/>
                <w:szCs w:val="24"/>
              </w:rPr>
              <w:t>日期：</w:t>
            </w:r>
          </w:p>
        </w:tc>
      </w:tr>
    </w:tbl>
    <w:p>
      <w:pPr>
        <w:rPr>
          <w:color w:val="000000"/>
        </w:rPr>
        <w:sectPr>
          <w:footerReference r:id="rId3" w:type="default"/>
          <w:pgSz w:w="11906" w:h="16838"/>
          <w:pgMar w:top="2098" w:right="1474" w:bottom="1814" w:left="1588" w:header="851" w:footer="992" w:gutter="0"/>
          <w:pgNumType w:start="1"/>
          <w:cols w:space="425" w:num="1"/>
          <w:docGrid w:type="lines" w:linePitch="312" w:charSpace="0"/>
        </w:sectPr>
      </w:pPr>
    </w:p>
    <w:p>
      <w:pPr>
        <w:jc w:val="center"/>
        <w:rPr>
          <w:rFonts w:ascii="黑体" w:hAnsi="黑体" w:eastAsia="黑体"/>
          <w:color w:val="000000"/>
          <w:sz w:val="32"/>
          <w:szCs w:val="32"/>
        </w:rPr>
      </w:pPr>
      <w:r>
        <w:rPr>
          <w:rFonts w:hint="eastAsia" w:ascii="黑体" w:hAnsi="黑体" w:eastAsia="黑体"/>
          <w:color w:val="000000"/>
          <w:sz w:val="32"/>
          <w:szCs w:val="32"/>
        </w:rPr>
        <w:t>二、绿色园区自评表</w:t>
      </w:r>
    </w:p>
    <w:tbl>
      <w:tblPr>
        <w:tblStyle w:val="5"/>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85"/>
        <w:gridCol w:w="3174"/>
        <w:gridCol w:w="858"/>
        <w:gridCol w:w="850"/>
        <w:gridCol w:w="709"/>
        <w:gridCol w:w="8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4" w:type="dxa"/>
            <w:vAlign w:val="center"/>
          </w:tcPr>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一级指标</w:t>
            </w:r>
          </w:p>
        </w:tc>
        <w:tc>
          <w:tcPr>
            <w:tcW w:w="685" w:type="dxa"/>
            <w:vAlign w:val="center"/>
          </w:tcPr>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序号</w:t>
            </w:r>
          </w:p>
        </w:tc>
        <w:tc>
          <w:tcPr>
            <w:tcW w:w="3174" w:type="dxa"/>
            <w:vAlign w:val="center"/>
          </w:tcPr>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二级指标</w:t>
            </w:r>
          </w:p>
        </w:tc>
        <w:tc>
          <w:tcPr>
            <w:tcW w:w="858" w:type="dxa"/>
            <w:vAlign w:val="center"/>
          </w:tcPr>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指标</w:t>
            </w:r>
          </w:p>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单位</w:t>
            </w:r>
          </w:p>
        </w:tc>
        <w:tc>
          <w:tcPr>
            <w:tcW w:w="850" w:type="dxa"/>
            <w:vAlign w:val="center"/>
          </w:tcPr>
          <w:p>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引领值</w:t>
            </w:r>
          </w:p>
        </w:tc>
        <w:tc>
          <w:tcPr>
            <w:tcW w:w="709" w:type="dxa"/>
            <w:vAlign w:val="center"/>
          </w:tcPr>
          <w:p>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分值</w:t>
            </w:r>
          </w:p>
        </w:tc>
        <w:tc>
          <w:tcPr>
            <w:tcW w:w="852" w:type="dxa"/>
            <w:vAlign w:val="center"/>
          </w:tcPr>
          <w:p>
            <w:pPr>
              <w:widowControl/>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指标</w:t>
            </w:r>
            <w:r>
              <w:rPr>
                <w:rFonts w:hint="eastAsia" w:ascii="Times New Roman" w:hAnsi="Times New Roman" w:eastAsia="仿宋"/>
                <w:b/>
                <w:bCs/>
                <w:color w:val="000000"/>
                <w:kern w:val="0"/>
                <w:szCs w:val="21"/>
              </w:rPr>
              <w:t>值</w:t>
            </w:r>
          </w:p>
        </w:tc>
        <w:tc>
          <w:tcPr>
            <w:tcW w:w="851" w:type="dxa"/>
            <w:vAlign w:val="center"/>
          </w:tcPr>
          <w:p>
            <w:pPr>
              <w:widowControl/>
              <w:jc w:val="center"/>
              <w:rPr>
                <w:rFonts w:ascii="Times New Roman" w:hAnsi="Times New Roman" w:eastAsia="仿宋"/>
                <w:b/>
                <w:bCs/>
                <w:color w:val="000000"/>
                <w:kern w:val="0"/>
                <w:szCs w:val="21"/>
              </w:rPr>
            </w:pPr>
            <w:r>
              <w:rPr>
                <w:rFonts w:hint="eastAsia" w:ascii="Times New Roman" w:hAnsi="Times New Roman" w:eastAsia="仿宋"/>
                <w:b/>
                <w:bCs/>
                <w:color w:val="000000"/>
                <w:kern w:val="0"/>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基本要求</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国家和地方绿色、循环和低碳相关法律法规、政策和标准应得到有效的贯彻执行。</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近三年，未发生重大污染事故或重大生态破坏事件，完成国家或地方政府下达的节能减排指标，碳排放强度持续下降。</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环境质量达到国家或地方规定的环境功能区环境质量标准，园区内企业污染物达标排放，各类重点污染物排放总量均不超过国家或地方的总量控制要求。</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4</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园区重点企业100%实施清洁生产审核。</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园区企业不应使用国家列入淘汰目录的落后生产技术、工艺和设备，不应生产国家列入淘汰目录的产品。</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6</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园区建立履行绿色发展工作职责的专门机构、配备2名以上专职工作人员。</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一票否决</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7</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鼓励园区建立并运行环境管理体系和能源管理体系，建立园区能源监测管理平台。</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鼓励</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8</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kern w:val="0"/>
                <w:szCs w:val="21"/>
              </w:rPr>
              <w:t>鼓励园区建设并运行风能、太阳能等可再生能源应用设施。</w:t>
            </w:r>
          </w:p>
        </w:tc>
        <w:tc>
          <w:tcPr>
            <w:tcW w:w="858"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鼓励</w:t>
            </w:r>
          </w:p>
        </w:tc>
        <w:tc>
          <w:tcPr>
            <w:tcW w:w="852"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w:t>
            </w: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能源利用</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绿色化指标（EG）</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9</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能源产出率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万元/tce</w:t>
            </w:r>
          </w:p>
        </w:tc>
        <w:tc>
          <w:tcPr>
            <w:tcW w:w="850"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10</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可再生能源使用比例</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r>
              <w:rPr>
                <w:rFonts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11</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清洁能源使用率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7</w:t>
            </w:r>
            <w:r>
              <w:rPr>
                <w:rFonts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资源利用</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绿色化指标</w:t>
            </w:r>
            <w:r>
              <w:rPr>
                <w:rFonts w:hint="eastAsia" w:ascii="Times New Roman" w:hAnsi="Times New Roman" w:eastAsia="仿宋"/>
                <w:color w:val="000000"/>
                <w:kern w:val="0"/>
                <w:szCs w:val="21"/>
              </w:rPr>
              <w:t>（R</w:t>
            </w:r>
            <w:r>
              <w:rPr>
                <w:rFonts w:ascii="Times New Roman" w:hAnsi="Times New Roman" w:eastAsia="仿宋"/>
                <w:color w:val="000000"/>
                <w:kern w:val="0"/>
                <w:szCs w:val="21"/>
              </w:rPr>
              <w:t>G</w:t>
            </w:r>
            <w:r>
              <w:rPr>
                <w:rFonts w:hint="eastAsia" w:ascii="Times New Roman" w:hAnsi="Times New Roman" w:eastAsia="仿宋"/>
                <w:color w:val="000000"/>
                <w:kern w:val="0"/>
                <w:szCs w:val="21"/>
              </w:rPr>
              <w:t>）</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12</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水资源产出率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元/m</w:t>
            </w:r>
            <w:r>
              <w:rPr>
                <w:rFonts w:ascii="Times New Roman" w:hAnsi="Times New Roman" w:eastAsia="仿宋"/>
                <w:color w:val="000000"/>
                <w:kern w:val="0"/>
                <w:szCs w:val="21"/>
                <w:vertAlign w:val="superscript"/>
              </w:rPr>
              <w:t>3</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r>
              <w:rPr>
                <w:rFonts w:ascii="Times New Roman" w:hAnsi="Times New Roman" w:eastAsia="仿宋"/>
                <w:color w:val="000000"/>
                <w:kern w:val="0"/>
                <w:szCs w:val="21"/>
              </w:rPr>
              <w:t>500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13</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土地资源产出率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亿元/km</w:t>
            </w:r>
            <w:r>
              <w:rPr>
                <w:rFonts w:ascii="Times New Roman" w:hAnsi="Times New Roman" w:eastAsia="仿宋"/>
                <w:color w:val="000000"/>
                <w:kern w:val="0"/>
                <w:szCs w:val="21"/>
                <w:vertAlign w:val="superscript"/>
              </w:rPr>
              <w:t>2</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r>
              <w:rPr>
                <w:rFonts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14</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工业固体废弃物综合利用率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9</w:t>
            </w:r>
            <w:r>
              <w:rPr>
                <w:rFonts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15</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工业用水重复利用率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9</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16</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中水回用率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17</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余热资源回收利用率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6</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基础设施</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绿色指标</w:t>
            </w:r>
          </w:p>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（I</w:t>
            </w:r>
            <w:r>
              <w:rPr>
                <w:rFonts w:ascii="Times New Roman" w:hAnsi="Times New Roman" w:eastAsia="仿宋"/>
                <w:color w:val="000000"/>
                <w:kern w:val="0"/>
                <w:szCs w:val="21"/>
              </w:rPr>
              <w:t>G</w:t>
            </w:r>
            <w:r>
              <w:rPr>
                <w:rFonts w:hint="eastAsia" w:ascii="Times New Roman" w:hAnsi="Times New Roman" w:eastAsia="仿宋"/>
                <w:color w:val="000000"/>
                <w:kern w:val="0"/>
                <w:szCs w:val="21"/>
              </w:rPr>
              <w:t>）</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18</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污水集中处理设施</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具备</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19</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新建工业</w:t>
            </w:r>
            <w:r>
              <w:rPr>
                <w:rFonts w:hint="eastAsia" w:ascii="Times New Roman" w:hAnsi="Times New Roman" w:eastAsia="仿宋"/>
                <w:color w:val="000000"/>
                <w:kern w:val="0"/>
                <w:szCs w:val="21"/>
              </w:rPr>
              <w:t>（</w:t>
            </w:r>
            <w:r>
              <w:rPr>
                <w:rFonts w:ascii="Times New Roman" w:hAnsi="Times New Roman" w:eastAsia="仿宋"/>
                <w:color w:val="000000"/>
                <w:kern w:val="0"/>
                <w:szCs w:val="21"/>
              </w:rPr>
              <w:t>公共</w:t>
            </w:r>
            <w:r>
              <w:rPr>
                <w:rFonts w:hint="eastAsia" w:ascii="Times New Roman" w:hAnsi="Times New Roman" w:eastAsia="仿宋"/>
                <w:color w:val="000000"/>
                <w:kern w:val="0"/>
                <w:szCs w:val="21"/>
              </w:rPr>
              <w:t>）</w:t>
            </w:r>
            <w:r>
              <w:rPr>
                <w:rFonts w:ascii="Times New Roman" w:hAnsi="Times New Roman" w:eastAsia="仿宋"/>
                <w:color w:val="000000"/>
                <w:kern w:val="0"/>
                <w:szCs w:val="21"/>
              </w:rPr>
              <w:t>建筑中绿色建筑的比例</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30</w:t>
            </w:r>
            <w:r>
              <w:rPr>
                <w:rFonts w:hint="eastAsia" w:ascii="Times New Roman" w:hAnsi="Times New Roman" w:eastAsia="仿宋"/>
                <w:color w:val="000000"/>
                <w:kern w:val="0"/>
                <w:szCs w:val="21"/>
              </w:rPr>
              <w:t>（6</w:t>
            </w:r>
            <w:r>
              <w:rPr>
                <w:rFonts w:ascii="Times New Roman" w:hAnsi="Times New Roman" w:eastAsia="仿宋"/>
                <w:color w:val="000000"/>
                <w:kern w:val="0"/>
                <w:szCs w:val="21"/>
              </w:rPr>
              <w:t>0</w:t>
            </w:r>
            <w:r>
              <w:rPr>
                <w:rFonts w:hint="eastAsia" w:ascii="Times New Roman" w:hAnsi="Times New Roman" w:eastAsia="仿宋"/>
                <w:color w:val="000000"/>
                <w:kern w:val="0"/>
                <w:szCs w:val="21"/>
              </w:rPr>
              <w:t>）</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0</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节能与新能源公交车比例</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产业</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绿色指标</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（CG）</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1</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高新技术产业产值占园区工业总产值比例</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2</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绿色产业增加值占园区工业增加值比例</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3</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人均工业增加值</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万元/人</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r>
              <w:rPr>
                <w:rFonts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生态环境</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绿色指标</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（HG）</w:t>
            </w: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4</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工业固体废弃物（含危废）处置利用率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1</w:t>
            </w:r>
            <w:r>
              <w:rPr>
                <w:rFonts w:ascii="Times New Roman" w:hAnsi="Times New Roman" w:eastAsia="仿宋"/>
                <w:color w:val="000000"/>
                <w:kern w:val="0"/>
                <w:szCs w:val="21"/>
              </w:rPr>
              <w:t>00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5</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万元工业增加值碳排放量消减率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6</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单位工业增加值废水排放量</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t/万元</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7</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主要污染物弹性系数</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0</w:t>
            </w:r>
            <w:r>
              <w:rPr>
                <w:rFonts w:ascii="Times New Roman" w:hAnsi="Times New Roman" w:eastAsia="仿宋"/>
                <w:color w:val="000000"/>
                <w:kern w:val="0"/>
                <w:szCs w:val="21"/>
              </w:rPr>
              <w:t>.3</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8</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园区空气质量优良率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8</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29</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绿化覆盖率</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0</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restart"/>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运行管理</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绿色指标</w:t>
            </w:r>
          </w:p>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（MG）</w:t>
            </w:r>
          </w:p>
        </w:tc>
        <w:tc>
          <w:tcPr>
            <w:tcW w:w="685"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30</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园区绿色标准体系完善程度</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完善</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编制园区绿色发展规划</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是</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Merge w:val="continue"/>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32</w:t>
            </w:r>
          </w:p>
        </w:tc>
        <w:tc>
          <w:tcPr>
            <w:tcW w:w="3174"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园区绿色信息平台完善程度</w:t>
            </w:r>
          </w:p>
        </w:tc>
        <w:tc>
          <w:tcPr>
            <w:tcW w:w="858" w:type="dxa"/>
            <w:vAlign w:val="center"/>
          </w:tcPr>
          <w:p>
            <w:pPr>
              <w:widowControl/>
              <w:jc w:val="center"/>
              <w:rPr>
                <w:rFonts w:ascii="Times New Roman" w:hAnsi="Times New Roman" w:eastAsia="仿宋"/>
                <w:color w:val="000000"/>
                <w:kern w:val="0"/>
                <w:szCs w:val="21"/>
              </w:rPr>
            </w:pPr>
            <w:r>
              <w:rPr>
                <w:rFonts w:ascii="Times New Roman" w:hAnsi="Times New Roman" w:eastAsia="仿宋"/>
                <w:color w:val="000000"/>
                <w:kern w:val="0"/>
                <w:szCs w:val="21"/>
              </w:rPr>
              <w:t>-</w:t>
            </w:r>
          </w:p>
        </w:tc>
        <w:tc>
          <w:tcPr>
            <w:tcW w:w="850"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完善</w:t>
            </w:r>
          </w:p>
        </w:tc>
        <w:tc>
          <w:tcPr>
            <w:tcW w:w="709" w:type="dxa"/>
            <w:vAlign w:val="center"/>
          </w:tcPr>
          <w:p>
            <w:pPr>
              <w:widowControl/>
              <w:jc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vAlign w:val="center"/>
          </w:tcPr>
          <w:p>
            <w:pPr>
              <w:widowControl/>
              <w:jc w:val="center"/>
              <w:rPr>
                <w:rFonts w:ascii="Times New Roman" w:hAnsi="Times New Roman" w:eastAsia="仿宋"/>
                <w:color w:val="000000"/>
                <w:kern w:val="0"/>
                <w:szCs w:val="21"/>
              </w:rPr>
            </w:pPr>
          </w:p>
        </w:tc>
        <w:tc>
          <w:tcPr>
            <w:tcW w:w="685" w:type="dxa"/>
            <w:vAlign w:val="center"/>
          </w:tcPr>
          <w:p>
            <w:pPr>
              <w:widowControl/>
              <w:jc w:val="center"/>
              <w:rPr>
                <w:rFonts w:ascii="Times New Roman" w:hAnsi="Times New Roman" w:eastAsia="仿宋"/>
                <w:color w:val="000000"/>
                <w:kern w:val="0"/>
                <w:szCs w:val="21"/>
              </w:rPr>
            </w:pPr>
          </w:p>
        </w:tc>
        <w:tc>
          <w:tcPr>
            <w:tcW w:w="3174" w:type="dxa"/>
            <w:vAlign w:val="center"/>
          </w:tcPr>
          <w:p>
            <w:pPr>
              <w:widowControl/>
              <w:jc w:val="center"/>
              <w:rPr>
                <w:rFonts w:ascii="Times New Roman" w:hAnsi="Times New Roman" w:eastAsia="仿宋"/>
                <w:color w:val="000000"/>
                <w:kern w:val="0"/>
                <w:szCs w:val="21"/>
              </w:rPr>
            </w:pPr>
          </w:p>
        </w:tc>
        <w:tc>
          <w:tcPr>
            <w:tcW w:w="858" w:type="dxa"/>
            <w:vAlign w:val="center"/>
          </w:tcPr>
          <w:p>
            <w:pPr>
              <w:widowControl/>
              <w:jc w:val="center"/>
              <w:rPr>
                <w:rFonts w:ascii="Times New Roman" w:hAnsi="Times New Roman" w:eastAsia="仿宋"/>
                <w:color w:val="000000"/>
                <w:kern w:val="0"/>
                <w:szCs w:val="21"/>
              </w:rPr>
            </w:pPr>
          </w:p>
        </w:tc>
        <w:tc>
          <w:tcPr>
            <w:tcW w:w="850" w:type="dxa"/>
            <w:vAlign w:val="center"/>
          </w:tcPr>
          <w:p>
            <w:pPr>
              <w:widowControl/>
              <w:jc w:val="center"/>
              <w:rPr>
                <w:rFonts w:hint="eastAsia" w:ascii="Times New Roman" w:hAnsi="Times New Roman" w:eastAsia="仿宋"/>
                <w:color w:val="000000"/>
                <w:kern w:val="0"/>
                <w:szCs w:val="21"/>
              </w:rPr>
            </w:pPr>
          </w:p>
        </w:tc>
        <w:tc>
          <w:tcPr>
            <w:tcW w:w="709" w:type="dxa"/>
            <w:vAlign w:val="center"/>
          </w:tcPr>
          <w:p>
            <w:pPr>
              <w:widowControl/>
              <w:jc w:val="center"/>
              <w:rPr>
                <w:rFonts w:hint="default" w:ascii="Times New Roman" w:hAnsi="Times New Roman" w:eastAsia="仿宋"/>
                <w:color w:val="000000"/>
                <w:kern w:val="0"/>
                <w:szCs w:val="21"/>
                <w:lang w:val="en-US" w:eastAsia="zh-CN"/>
              </w:rPr>
            </w:pPr>
            <w:r>
              <w:rPr>
                <w:rFonts w:hint="eastAsia" w:ascii="Times New Roman" w:hAnsi="Times New Roman" w:eastAsia="仿宋"/>
                <w:color w:val="000000"/>
                <w:kern w:val="0"/>
                <w:szCs w:val="21"/>
                <w:lang w:val="en-US" w:eastAsia="zh-CN"/>
              </w:rPr>
              <w:t>100</w:t>
            </w:r>
          </w:p>
        </w:tc>
        <w:tc>
          <w:tcPr>
            <w:tcW w:w="852" w:type="dxa"/>
            <w:vAlign w:val="center"/>
          </w:tcPr>
          <w:p>
            <w:pPr>
              <w:widowControl/>
              <w:jc w:val="center"/>
              <w:rPr>
                <w:rFonts w:ascii="Times New Roman" w:hAnsi="Times New Roman" w:eastAsia="仿宋"/>
                <w:color w:val="000000"/>
                <w:kern w:val="0"/>
                <w:szCs w:val="21"/>
              </w:rPr>
            </w:pPr>
          </w:p>
        </w:tc>
        <w:tc>
          <w:tcPr>
            <w:tcW w:w="851" w:type="dxa"/>
            <w:vAlign w:val="center"/>
          </w:tcPr>
          <w:p>
            <w:pPr>
              <w:widowControl/>
              <w:jc w:val="center"/>
              <w:rPr>
                <w:rFonts w:ascii="Times New Roman" w:hAnsi="Times New Roman" w:eastAsia="仿宋"/>
                <w:color w:val="000000"/>
                <w:kern w:val="0"/>
                <w:szCs w:val="21"/>
              </w:rPr>
            </w:pPr>
          </w:p>
        </w:tc>
      </w:tr>
    </w:tbl>
    <w:p>
      <w:pPr>
        <w:rPr>
          <w:rFonts w:ascii="黑体" w:hAnsi="黑体" w:eastAsia="黑体"/>
          <w:color w:val="000000"/>
          <w:sz w:val="32"/>
          <w:szCs w:val="32"/>
        </w:rPr>
      </w:pPr>
    </w:p>
    <w:p>
      <w:pPr>
        <w:widowControl/>
        <w:jc w:val="left"/>
        <w:rPr>
          <w:rFonts w:ascii="仿宋_GB2312" w:hAnsi="宋体" w:eastAsia="仿宋_GB2312"/>
          <w:color w:val="000000"/>
          <w:kern w:val="0"/>
          <w:szCs w:val="21"/>
        </w:rPr>
        <w:sectPr>
          <w:pgSz w:w="11906" w:h="16838"/>
          <w:pgMar w:top="1701" w:right="1474" w:bottom="1701" w:left="1588" w:header="851" w:footer="992" w:gutter="0"/>
          <w:cols w:space="425" w:num="1"/>
          <w:docGrid w:type="linesAndChars" w:linePitch="312" w:charSpace="0"/>
        </w:sectPr>
      </w:pPr>
    </w:p>
    <w:p>
      <w:pPr>
        <w:jc w:val="center"/>
        <w:rPr>
          <w:rFonts w:ascii="黑体" w:hAnsi="黑体" w:eastAsia="黑体"/>
          <w:color w:val="000000"/>
          <w:sz w:val="32"/>
          <w:szCs w:val="32"/>
        </w:rPr>
      </w:pPr>
      <w:r>
        <w:rPr>
          <w:rFonts w:hint="eastAsia" w:ascii="黑体" w:hAnsi="黑体" w:eastAsia="黑体"/>
          <w:color w:val="000000"/>
          <w:sz w:val="32"/>
          <w:szCs w:val="32"/>
        </w:rPr>
        <w:t>三、绿色园区自评报告</w:t>
      </w:r>
    </w:p>
    <w:p>
      <w:pPr>
        <w:spacing w:line="540" w:lineRule="exact"/>
        <w:rPr>
          <w:rFonts w:ascii="仿宋_GB2312" w:hAnsi="Times New Roman" w:eastAsia="仿宋_GB2312"/>
          <w:color w:val="000000"/>
          <w:sz w:val="24"/>
          <w:szCs w:val="24"/>
        </w:rPr>
      </w:pP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（一）园区基本情况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概述园区的基本信息、功能区划、产业发展现状以及在绿色发展方面开展的重点工作及取得的成绩等。</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（二）绿色工业园区创建情况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对照《绿色工业园区自评表》，对园区基本要求的符合性以及能源利用、资源利用、基础设施、产业、生态环境、运行管理等方面的内容进行情况描述。</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1、基本要求的符合性。说明园区对《绿色工业园区自评表》中基本要求的符合性情况。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2、能源利用。主要描述园区能源利用的情况，已采用的先进能源利用技术说明，实施情况和现场照片，以及相关指标得分情况。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3、资源利用。主要描述园区资源利用的情况，已采用的先进资源利用技术说明，实施情况和现场照片，以及相关指标得分情况。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4、基础设施。主要描述园区基础设施情况，已采用的先进基础设施技术说明，实施情况和现场照片，以及相关指标得分情况。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5、产业。主要描述园区产业结构情况，促进产业结构绿色转型升级采取的措施说明，以及相关指标得分情况。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6、生态环境。主要描述园区生态环境情况，已采用的先进环境保护技术说明，实施情况和现场照片，以及相关指标得分情况。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7、运行管理。主要描述园区运行管理情况，已采用的先进运行管理手段说明，实施情况和现场照片，以及相关指标得分情况。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（三）绿色工业园区创建总结</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对照《绿色工业园区自评表》，对园区基本要求的符合性以及能源利用、资源利用、基础设施、产业、生态环境、运行管理等方面进行自评打分。</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（四）相关证明材料</w:t>
      </w:r>
    </w:p>
    <w:p>
      <w:pPr>
        <w:widowControl/>
        <w:adjustRightInd w:val="0"/>
        <w:snapToGrid w:val="0"/>
        <w:spacing w:line="540" w:lineRule="exact"/>
        <w:ind w:firstLine="640" w:firstLineChars="200"/>
        <w:jc w:val="left"/>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与基本要求和指标测算相关的证明材料。</w:t>
      </w:r>
    </w:p>
    <w:p>
      <w:pPr>
        <w:widowControl/>
        <w:adjustRightInd w:val="0"/>
        <w:snapToGrid w:val="0"/>
        <w:spacing w:line="540" w:lineRule="exact"/>
        <w:ind w:firstLine="560" w:firstLineChars="200"/>
        <w:jc w:val="left"/>
        <w:rPr>
          <w:rFonts w:ascii="楷体_GB2312" w:hAnsi="微软雅黑" w:eastAsia="楷体_GB2312" w:cs="宋体"/>
          <w:bCs/>
          <w:color w:val="000000"/>
          <w:kern w:val="0"/>
          <w:sz w:val="28"/>
          <w:szCs w:val="28"/>
        </w:rPr>
      </w:pPr>
    </w:p>
    <w:p>
      <w:pPr>
        <w:spacing w:line="540" w:lineRule="exact"/>
        <w:jc w:val="center"/>
        <w:outlineLvl w:val="0"/>
        <w:rPr>
          <w:rFonts w:ascii="黑体" w:hAnsi="黑体" w:eastAsia="黑体"/>
          <w:color w:val="000000"/>
          <w:sz w:val="32"/>
          <w:szCs w:val="32"/>
        </w:rPr>
        <w:sectPr>
          <w:pgSz w:w="11906" w:h="16838"/>
          <w:pgMar w:top="2098" w:right="1474" w:bottom="1814" w:left="1588" w:header="851" w:footer="992" w:gutter="0"/>
          <w:cols w:space="425" w:num="1"/>
          <w:docGrid w:type="lines" w:linePitch="312" w:charSpace="0"/>
        </w:sectPr>
      </w:pPr>
    </w:p>
    <w:p>
      <w:pPr>
        <w:spacing w:line="540" w:lineRule="exact"/>
        <w:jc w:val="center"/>
        <w:rPr>
          <w:rFonts w:ascii="黑体" w:hAnsi="黑体" w:eastAsia="黑体"/>
          <w:color w:val="000000"/>
          <w:sz w:val="32"/>
          <w:szCs w:val="32"/>
        </w:rPr>
      </w:pPr>
      <w:r>
        <w:rPr>
          <w:rFonts w:hint="eastAsia" w:ascii="黑体" w:hAnsi="黑体" w:eastAsia="黑体"/>
          <w:color w:val="000000"/>
          <w:sz w:val="32"/>
          <w:szCs w:val="32"/>
        </w:rPr>
        <w:t>四、绿色园区评价方法</w:t>
      </w:r>
    </w:p>
    <w:p>
      <w:pPr>
        <w:spacing w:line="360" w:lineRule="auto"/>
        <w:rPr>
          <w:rFonts w:ascii="Times New Roman" w:hAnsi="Times New Roman" w:eastAsia="仿宋" w:cs="宋体"/>
          <w:color w:val="000000"/>
          <w:kern w:val="0"/>
          <w:sz w:val="32"/>
          <w:szCs w:val="32"/>
        </w:rPr>
      </w:pP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工业园区绿色指数</w:t>
      </w:r>
      <w:r>
        <w:rPr>
          <w:rFonts w:hint="eastAsia" w:ascii="Times New Roman" w:hAnsi="Times New Roman" w:eastAsia="仿宋" w:cs="宋体"/>
          <w:color w:val="000000"/>
          <w:kern w:val="0"/>
          <w:sz w:val="32"/>
          <w:szCs w:val="32"/>
        </w:rPr>
        <w:t>自评分=</w:t>
      </w:r>
      <w:r>
        <w:rPr>
          <w:rFonts w:ascii="Times New Roman" w:hAnsi="Times New Roman" w:eastAsia="仿宋" w:cs="宋体"/>
          <w:color w:val="000000"/>
          <w:kern w:val="0"/>
          <w:sz w:val="32"/>
          <w:szCs w:val="32"/>
        </w:rPr>
        <w:t>指标值</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引领值</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5.0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单项指标满分5</w:t>
      </w:r>
      <w:r>
        <w:rPr>
          <w:rFonts w:ascii="Times New Roman" w:hAnsi="Times New Roman" w:eastAsia="仿宋" w:cs="宋体"/>
          <w:color w:val="000000"/>
          <w:kern w:val="0"/>
          <w:sz w:val="32"/>
          <w:szCs w:val="32"/>
        </w:rPr>
        <w:t>.0</w:t>
      </w:r>
      <w:r>
        <w:rPr>
          <w:rFonts w:hint="eastAsia" w:ascii="Times New Roman" w:hAnsi="Times New Roman" w:eastAsia="仿宋" w:cs="宋体"/>
          <w:color w:val="000000"/>
          <w:kern w:val="0"/>
          <w:sz w:val="32"/>
          <w:szCs w:val="32"/>
        </w:rPr>
        <w:t>分，总分1</w:t>
      </w:r>
      <w:r>
        <w:rPr>
          <w:rFonts w:ascii="Times New Roman" w:hAnsi="Times New Roman" w:eastAsia="仿宋" w:cs="宋体"/>
          <w:color w:val="000000"/>
          <w:kern w:val="0"/>
          <w:sz w:val="32"/>
          <w:szCs w:val="32"/>
        </w:rPr>
        <w:t>20</w:t>
      </w:r>
      <w:r>
        <w:rPr>
          <w:rFonts w:hint="eastAsia" w:ascii="Times New Roman" w:hAnsi="Times New Roman" w:eastAsia="仿宋" w:cs="宋体"/>
          <w:color w:val="000000"/>
          <w:kern w:val="0"/>
          <w:sz w:val="32"/>
          <w:szCs w:val="32"/>
        </w:rPr>
        <w:t>分。</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注：正向指标（越大越好的指标）和逆向指标（越小越好的指标）数值的无量纲化分别采用指标值/</w:t>
      </w:r>
      <w:r>
        <w:rPr>
          <w:rFonts w:hint="eastAsia" w:ascii="Times New Roman" w:hAnsi="Times New Roman" w:eastAsia="仿宋" w:cs="宋体"/>
          <w:color w:val="000000"/>
          <w:kern w:val="0"/>
          <w:sz w:val="32"/>
          <w:szCs w:val="32"/>
        </w:rPr>
        <w:t>引领</w:t>
      </w:r>
      <w:r>
        <w:rPr>
          <w:rFonts w:ascii="Times New Roman" w:hAnsi="Times New Roman" w:eastAsia="仿宋" w:cs="宋体"/>
          <w:color w:val="000000"/>
          <w:kern w:val="0"/>
          <w:sz w:val="32"/>
          <w:szCs w:val="32"/>
        </w:rPr>
        <w:t>值、</w:t>
      </w:r>
      <w:r>
        <w:rPr>
          <w:rFonts w:hint="eastAsia" w:ascii="Times New Roman" w:hAnsi="Times New Roman" w:eastAsia="仿宋" w:cs="宋体"/>
          <w:color w:val="000000"/>
          <w:kern w:val="0"/>
          <w:sz w:val="32"/>
          <w:szCs w:val="32"/>
        </w:rPr>
        <w:t>引领值</w:t>
      </w:r>
      <w:r>
        <w:rPr>
          <w:rFonts w:ascii="Times New Roman" w:hAnsi="Times New Roman" w:eastAsia="仿宋" w:cs="宋体"/>
          <w:color w:val="000000"/>
          <w:kern w:val="0"/>
          <w:sz w:val="32"/>
          <w:szCs w:val="32"/>
        </w:rPr>
        <w:t>值/指标值。在全部指标中，单位工业增加值废水排放量和主要污染物弹性系数属于逆向指标，无量纲化方法采用</w:t>
      </w:r>
      <w:r>
        <w:rPr>
          <w:rFonts w:hint="eastAsia" w:ascii="Times New Roman" w:hAnsi="Times New Roman" w:eastAsia="仿宋" w:cs="宋体"/>
          <w:color w:val="000000"/>
          <w:kern w:val="0"/>
          <w:sz w:val="32"/>
          <w:szCs w:val="32"/>
        </w:rPr>
        <w:t>引领</w:t>
      </w:r>
      <w:r>
        <w:rPr>
          <w:rFonts w:ascii="Times New Roman" w:hAnsi="Times New Roman" w:eastAsia="仿宋" w:cs="宋体"/>
          <w:color w:val="000000"/>
          <w:kern w:val="0"/>
          <w:sz w:val="32"/>
          <w:szCs w:val="32"/>
        </w:rPr>
        <w:t>值/指标值。</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（一）</w:t>
      </w:r>
      <w:r>
        <w:rPr>
          <w:rFonts w:ascii="Times New Roman" w:hAnsi="Times New Roman" w:eastAsia="仿宋" w:cs="宋体"/>
          <w:color w:val="000000"/>
          <w:kern w:val="0"/>
          <w:sz w:val="32"/>
          <w:szCs w:val="32"/>
        </w:rPr>
        <w:t>能源利用化绿色指标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能源利用绿色化指标包括能源产出率和可再生能源使用比例、清洁能源使用率3个指标。</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w:t>
      </w:r>
      <w:r>
        <w:rPr>
          <w:rFonts w:ascii="Times New Roman" w:hAnsi="Times New Roman" w:eastAsia="仿宋" w:cs="宋体"/>
          <w:color w:val="000000"/>
          <w:kern w:val="0"/>
          <w:sz w:val="32"/>
          <w:szCs w:val="32"/>
        </w:rPr>
        <w:t>能源产出率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指标解释：指报告期内园区工业增加值与能源消耗总量的比值，该项指标越大，表明能源产出效率越高。能源主要包括原煤、原油、天然气、核电、水电、风电等一次能源。工业增加值采用2010年不变价，下同。</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计算公式：能源产出率=园区工业增加值（万元不变价）/能源综合消耗总量（tce）。</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2</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可再生能源使用比例</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指标解释：园区内工业企业的可再生能源使用量与综合能耗总量的比值。可再生能源包括太阳能、水能、生物质能、地热能、氢能、波浪能等非化石能源。</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计算公式：可再生能源使用比例（%）=工业企业可再生能源使用量（tce）/工业企业综合能耗总量（tce）×100%。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3、</w:t>
      </w:r>
      <w:r>
        <w:rPr>
          <w:rFonts w:ascii="Times New Roman" w:hAnsi="Times New Roman" w:eastAsia="仿宋" w:cs="宋体"/>
          <w:color w:val="000000"/>
          <w:kern w:val="0"/>
          <w:sz w:val="32"/>
          <w:szCs w:val="32"/>
        </w:rPr>
        <w:t>清洁能源使用率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计算公式：清洁能源使用率（%）=清洁能源使用量（tce）/终端能源消费总量（tce）×100%。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（二）</w:t>
      </w:r>
      <w:r>
        <w:rPr>
          <w:rFonts w:ascii="Times New Roman" w:hAnsi="Times New Roman" w:eastAsia="仿宋" w:cs="宋体"/>
          <w:color w:val="000000"/>
          <w:kern w:val="0"/>
          <w:sz w:val="32"/>
          <w:szCs w:val="32"/>
        </w:rPr>
        <w:t>资源利用绿色化指标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资源利用绿色化指标包括水资源产出率、土地资源产出率、工业固体废弃物综合利用率、工业用水重复利用率</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中水回用率、余热资源回收利用率6个指标。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1</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水资源产出率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计算公式：水资源产出率= 园区工业增加值（万元不变价）/园区工业用新鲜水量（m</w:t>
      </w:r>
      <w:r>
        <w:rPr>
          <w:rFonts w:ascii="Times New Roman" w:hAnsi="Times New Roman" w:eastAsia="仿宋" w:cs="宋体"/>
          <w:color w:val="000000"/>
          <w:kern w:val="0"/>
          <w:sz w:val="32"/>
          <w:szCs w:val="32"/>
          <w:vertAlign w:val="superscript"/>
        </w:rPr>
        <w:t>3</w:t>
      </w:r>
      <w:r>
        <w:rPr>
          <w:rFonts w:ascii="Times New Roman" w:hAnsi="Times New Roman" w:eastAsia="仿宋" w:cs="宋体"/>
          <w:color w:val="000000"/>
          <w:kern w:val="0"/>
          <w:sz w:val="32"/>
          <w:szCs w:val="32"/>
        </w:rPr>
        <w:t>）。</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2、</w:t>
      </w:r>
      <w:r>
        <w:rPr>
          <w:rFonts w:ascii="Times New Roman" w:hAnsi="Times New Roman" w:eastAsia="仿宋" w:cs="宋体"/>
          <w:color w:val="000000"/>
          <w:kern w:val="0"/>
          <w:sz w:val="32"/>
          <w:szCs w:val="32"/>
        </w:rPr>
        <w:t>土地资源产出率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计算公式：土地产出率=园区工业增加值（万元不变价）/园区工业用地面积（km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3</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工业固体废弃物综合利用率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指标解释：指工业固体废物综合利用量占工业固体废物产生量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包括综合利用往年贮存量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的百分率。工业固体废物综合利用量指报告期内企业通过回收、加工、循环、交换等方式，从固体废物中提取或者使其转化为可以利用的资源、能源和其他原材料的固体废物量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包括当年利用往年的工业固体废物贮存量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，如用作农业肥料、生产建筑材料、筑路等。综合利用量由原产生固体废物的单位统计。</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计算公式：工业固体废弃物综合利用率=工业固体废弃物综合利用量（t）/（工业固体废弃物产生量+综合利用往年贮存量(t)）×100%。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4、</w:t>
      </w:r>
      <w:r>
        <w:rPr>
          <w:rFonts w:ascii="Times New Roman" w:hAnsi="Times New Roman" w:eastAsia="仿宋" w:cs="宋体"/>
          <w:color w:val="000000"/>
          <w:kern w:val="0"/>
          <w:sz w:val="32"/>
          <w:szCs w:val="32"/>
        </w:rPr>
        <w:t>工业用水重复利用率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工业重复用水量占工业用水总量的百分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计算公式：工业用水重复利用率=工业重复用水量（m</w:t>
      </w:r>
      <w:r>
        <w:rPr>
          <w:rFonts w:ascii="Times New Roman" w:hAnsi="Times New Roman" w:eastAsia="仿宋" w:cs="宋体"/>
          <w:color w:val="000000"/>
          <w:kern w:val="0"/>
          <w:sz w:val="32"/>
          <w:szCs w:val="32"/>
          <w:vertAlign w:val="superscript"/>
        </w:rPr>
        <w:t>3</w:t>
      </w:r>
      <w:r>
        <w:rPr>
          <w:rFonts w:ascii="Times New Roman" w:hAnsi="Times New Roman" w:eastAsia="仿宋" w:cs="宋体"/>
          <w:color w:val="000000"/>
          <w:kern w:val="0"/>
          <w:sz w:val="32"/>
          <w:szCs w:val="32"/>
        </w:rPr>
        <w:t>）/工业用水总量（m</w:t>
      </w:r>
      <w:r>
        <w:rPr>
          <w:rFonts w:ascii="Times New Roman" w:hAnsi="Times New Roman" w:eastAsia="仿宋" w:cs="宋体"/>
          <w:color w:val="000000"/>
          <w:kern w:val="0"/>
          <w:sz w:val="32"/>
          <w:szCs w:val="32"/>
          <w:vertAlign w:val="superscript"/>
        </w:rPr>
        <w:t>3</w:t>
      </w:r>
      <w:r>
        <w:rPr>
          <w:rFonts w:ascii="Times New Roman" w:hAnsi="Times New Roman" w:eastAsia="仿宋" w:cs="宋体"/>
          <w:color w:val="000000"/>
          <w:kern w:val="0"/>
          <w:sz w:val="32"/>
          <w:szCs w:val="32"/>
        </w:rPr>
        <w:t>）×100%。</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5</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中水回用率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指标解释：指园区内再生水的回用量与污水处理厂处理量的比值。其中，再生水（中水）是指二级达标水经再生工艺净化处理后，达到中水水质指标要求，满足某种使用要求的水。</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计算公式：中水</w:t>
      </w:r>
      <w:r>
        <w:rPr>
          <w:rFonts w:hint="eastAsia" w:ascii="Times New Roman" w:hAnsi="Times New Roman" w:eastAsia="仿宋" w:cs="宋体"/>
          <w:color w:val="000000"/>
          <w:kern w:val="0"/>
          <w:sz w:val="32"/>
          <w:szCs w:val="32"/>
        </w:rPr>
        <w:t>回</w:t>
      </w:r>
      <w:r>
        <w:rPr>
          <w:rFonts w:ascii="Times New Roman" w:hAnsi="Times New Roman" w:eastAsia="仿宋" w:cs="宋体"/>
          <w:color w:val="000000"/>
          <w:kern w:val="0"/>
          <w:sz w:val="32"/>
          <w:szCs w:val="32"/>
        </w:rPr>
        <w:t>用率（%）=园区再生水（中水）回用量（万吨）/园区污水处理厂处理量（万吨）×100%。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6、</w:t>
      </w:r>
      <w:r>
        <w:rPr>
          <w:rFonts w:ascii="Times New Roman" w:hAnsi="Times New Roman" w:eastAsia="仿宋" w:cs="宋体"/>
          <w:color w:val="000000"/>
          <w:kern w:val="0"/>
          <w:sz w:val="32"/>
          <w:szCs w:val="32"/>
        </w:rPr>
        <w:t>余热资源回收利用率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计算公式：余热资源回收利用率（%）=回收利用的余热资源量（kJ）/园区总余热资源量（kJ）×100%。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（三）</w:t>
      </w:r>
      <w:r>
        <w:rPr>
          <w:rFonts w:ascii="Times New Roman" w:hAnsi="Times New Roman" w:eastAsia="仿宋" w:cs="宋体"/>
          <w:color w:val="000000"/>
          <w:kern w:val="0"/>
          <w:sz w:val="32"/>
          <w:szCs w:val="32"/>
        </w:rPr>
        <w:t>基础设施绿色化指标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基础设施绿色化指标包括污水集中处理设施</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新建工业</w:t>
      </w:r>
      <w:r>
        <w:rPr>
          <w:rFonts w:hint="eastAsia" w:ascii="Times New Roman" w:hAnsi="Times New Roman" w:eastAsia="仿宋" w:cs="宋体"/>
          <w:color w:val="000000"/>
          <w:kern w:val="0"/>
          <w:sz w:val="32"/>
          <w:szCs w:val="32"/>
        </w:rPr>
        <w:t>（公共）</w:t>
      </w:r>
      <w:r>
        <w:rPr>
          <w:rFonts w:ascii="Times New Roman" w:hAnsi="Times New Roman" w:eastAsia="仿宋" w:cs="宋体"/>
          <w:color w:val="000000"/>
          <w:kern w:val="0"/>
          <w:sz w:val="32"/>
          <w:szCs w:val="32"/>
        </w:rPr>
        <w:t>建筑中绿色建筑的比例、节能与新能源公交车比例3个指标。</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w:t>
      </w:r>
      <w:r>
        <w:rPr>
          <w:rFonts w:ascii="Times New Roman" w:hAnsi="Times New Roman" w:eastAsia="仿宋" w:cs="宋体"/>
          <w:color w:val="000000"/>
          <w:kern w:val="0"/>
          <w:sz w:val="32"/>
          <w:szCs w:val="32"/>
        </w:rPr>
        <w:t>污水集中处理设施</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指标解释：园区内所有工业废水经预处理达到集中处理要求后进入安装有自动在线监控装置的污水集中处理设施（园区内或园区外）。</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2</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新建工业</w:t>
      </w:r>
      <w:r>
        <w:rPr>
          <w:rFonts w:hint="eastAsia" w:ascii="Times New Roman" w:hAnsi="Times New Roman" w:eastAsia="仿宋" w:cs="宋体"/>
          <w:color w:val="000000"/>
          <w:kern w:val="0"/>
          <w:sz w:val="32"/>
          <w:szCs w:val="32"/>
        </w:rPr>
        <w:t>（公共）</w:t>
      </w:r>
      <w:r>
        <w:rPr>
          <w:rFonts w:ascii="Times New Roman" w:hAnsi="Times New Roman" w:eastAsia="仿宋" w:cs="宋体"/>
          <w:color w:val="000000"/>
          <w:kern w:val="0"/>
          <w:sz w:val="32"/>
          <w:szCs w:val="32"/>
        </w:rPr>
        <w:t>建筑中绿色建筑的比例</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（1）新建工业建筑中绿色建筑的比例</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指标解释：园区新建工业建筑中的绿色建筑是按照GB/T 50878-2013《绿色工业建筑评价标准》评价，获得二星及以上评级的工业建筑。</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计算公式：新建工业建筑中绿色建筑的比例（%）=新建工业建筑中绿色建筑的面积（m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）/园区新建工业建筑面积（m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（2）</w:t>
      </w:r>
      <w:r>
        <w:rPr>
          <w:rFonts w:ascii="Times New Roman" w:hAnsi="Times New Roman" w:eastAsia="仿宋" w:cs="宋体"/>
          <w:color w:val="000000"/>
          <w:kern w:val="0"/>
          <w:sz w:val="32"/>
          <w:szCs w:val="32"/>
        </w:rPr>
        <w:t>新建公共建筑中绿色建筑的比例</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指标解释：园区新建公共建筑中的绿色建筑是按照GB/T 50378-2014 《绿色建筑评价标准》评价，获得二星及以上评级的公共建筑。</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计算公式：新建公共建筑中绿色建筑的比例（%）=新建公共建筑中绿色建筑的面积（m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）/园区新建公共建筑面积（m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）×100%。</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3</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节能与新能源公交车比例</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计算公式：节能与新能源公交车比例（%）=节能与新能源公交车数量（辆）/园区公交车总量（辆）×100%。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（四）</w:t>
      </w:r>
      <w:r>
        <w:rPr>
          <w:rFonts w:ascii="Times New Roman" w:hAnsi="Times New Roman" w:eastAsia="仿宋" w:cs="宋体"/>
          <w:color w:val="000000"/>
          <w:kern w:val="0"/>
          <w:sz w:val="32"/>
          <w:szCs w:val="32"/>
        </w:rPr>
        <w:t>产业绿色化指标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产业绿色化指标包括绿色产业增加值占园区工业增加值比例</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人均工业增加值</w:t>
      </w:r>
      <w:r>
        <w:rPr>
          <w:rFonts w:hint="eastAsia" w:ascii="Times New Roman" w:hAnsi="Times New Roman" w:eastAsia="仿宋" w:cs="宋体"/>
          <w:color w:val="000000"/>
          <w:kern w:val="0"/>
          <w:sz w:val="32"/>
          <w:szCs w:val="32"/>
        </w:rPr>
        <w:t>2</w:t>
      </w:r>
      <w:r>
        <w:rPr>
          <w:rFonts w:ascii="Times New Roman" w:hAnsi="Times New Roman" w:eastAsia="仿宋" w:cs="宋体"/>
          <w:color w:val="000000"/>
          <w:kern w:val="0"/>
          <w:sz w:val="32"/>
          <w:szCs w:val="32"/>
        </w:rPr>
        <w:t>个指标。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1</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绿色产业增加值占园区工业增加值比例</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指标解释：园区内绿色产业的增加值与园区工业增加值的比值。其中，绿色产业增加值是依据国家统计局《战略性新兴产业分类（2012</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试行</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中关于节能环保产业和新能源产业的具体分类统计得到。</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计算公式：绿色产业增加值占园区工业增加值比例（%）=绿色产业增加值（万元）/园区工业增加值（万元）×100%。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2、</w:t>
      </w:r>
      <w:r>
        <w:rPr>
          <w:rFonts w:ascii="Times New Roman" w:hAnsi="Times New Roman" w:eastAsia="仿宋" w:cs="宋体"/>
          <w:color w:val="000000"/>
          <w:kern w:val="0"/>
          <w:sz w:val="32"/>
          <w:szCs w:val="32"/>
        </w:rPr>
        <w:t>人均工业增加值</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指标解释：园区工业增加值与园区内工业企业从业人数的比值。</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计算公式：人均工业增加值（万元/人）=园区工业增加值（万元）/园区年末工业企业从业人数（人）。</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（五）</w:t>
      </w:r>
      <w:r>
        <w:rPr>
          <w:rFonts w:ascii="Times New Roman" w:hAnsi="Times New Roman" w:eastAsia="仿宋" w:cs="宋体"/>
          <w:color w:val="000000"/>
          <w:kern w:val="0"/>
          <w:sz w:val="32"/>
          <w:szCs w:val="32"/>
        </w:rPr>
        <w:t>生态环境绿色化指标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生态环境绿色化指标包括工业固体废弃物（含危废）处置利用率、万元工业增加值碳排放量消减率、单位工业增加值废水排放量、主要污染物弹性系数、园区空气质量优良率</w:t>
      </w:r>
      <w:r>
        <w:rPr>
          <w:rFonts w:hint="eastAsia" w:ascii="Times New Roman" w:hAnsi="Times New Roman" w:eastAsia="仿宋" w:cs="宋体"/>
          <w:color w:val="000000"/>
          <w:kern w:val="0"/>
          <w:sz w:val="32"/>
          <w:szCs w:val="32"/>
        </w:rPr>
        <w:t>、绿化覆盖率</w:t>
      </w:r>
      <w:r>
        <w:rPr>
          <w:rFonts w:ascii="Times New Roman" w:hAnsi="Times New Roman" w:eastAsia="仿宋" w:cs="宋体"/>
          <w:color w:val="000000"/>
          <w:kern w:val="0"/>
          <w:sz w:val="32"/>
          <w:szCs w:val="32"/>
        </w:rPr>
        <w:t>6个指标。</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w:t>
      </w:r>
      <w:r>
        <w:rPr>
          <w:rFonts w:ascii="Times New Roman" w:hAnsi="Times New Roman" w:eastAsia="仿宋" w:cs="宋体"/>
          <w:color w:val="000000"/>
          <w:kern w:val="0"/>
          <w:sz w:val="32"/>
          <w:szCs w:val="32"/>
        </w:rPr>
        <w:t>工业固体废弃物（含危废）处置利用率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指标解释：园区范围内各工业企业安全处置、综合利用及安全贮存的工业固体废物量（含危险废物）之和与当年工业固体废物总产生量的比值。</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计算公式：工业固体废弃物（含危废）处置利用率（%）=园区当年工业固体废物处置利用量（含危险废物）（t）/园区当年工业固体废物总产生量（t）×100%。</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2</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万元工业增加值碳排放量消减率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指标解释：园区内工业企业产生单位工业增加值所排放的二氧化碳当量的创建期年均消减率。创建期是指绿色园区创建周期。</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计算公式：万元工业增加值碳排放量消减率（%）=[1-（验收年单位工业增加值二氧化碳排放量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tCO</w:t>
      </w:r>
      <w:r>
        <w:rPr>
          <w:rFonts w:ascii="Times New Roman" w:hAnsi="Times New Roman" w:eastAsia="仿宋" w:cs="宋体"/>
          <w:color w:val="000000"/>
          <w:kern w:val="0"/>
          <w:sz w:val="32"/>
          <w:szCs w:val="32"/>
          <w:vertAlign w:val="subscript"/>
        </w:rPr>
        <w:t>2</w:t>
      </w:r>
      <w:r>
        <w:rPr>
          <w:rFonts w:ascii="Times New Roman" w:hAnsi="Times New Roman" w:eastAsia="仿宋" w:cs="宋体"/>
          <w:color w:val="000000"/>
          <w:kern w:val="0"/>
          <w:sz w:val="32"/>
          <w:szCs w:val="32"/>
        </w:rPr>
        <w:t>eq./万元</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/创建基准年单位工业增加值二氧化碳排放量</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tCO</w:t>
      </w:r>
      <w:r>
        <w:rPr>
          <w:rFonts w:ascii="Times New Roman" w:hAnsi="Times New Roman" w:eastAsia="仿宋" w:cs="宋体"/>
          <w:color w:val="000000"/>
          <w:kern w:val="0"/>
          <w:sz w:val="32"/>
          <w:szCs w:val="32"/>
          <w:vertAlign w:val="subscript"/>
        </w:rPr>
        <w:t>2</w:t>
      </w:r>
      <w:r>
        <w:rPr>
          <w:rFonts w:ascii="Times New Roman" w:hAnsi="Times New Roman" w:eastAsia="仿宋" w:cs="宋体"/>
          <w:color w:val="000000"/>
          <w:kern w:val="0"/>
          <w:sz w:val="32"/>
          <w:szCs w:val="32"/>
        </w:rPr>
        <w:t>eq./万元</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w:t>
      </w:r>
      <w:r>
        <w:rPr>
          <w:rFonts w:ascii="Times New Roman" w:hAnsi="Times New Roman" w:eastAsia="仿宋" w:cs="宋体"/>
          <w:color w:val="000000"/>
          <w:kern w:val="0"/>
          <w:sz w:val="32"/>
          <w:szCs w:val="32"/>
          <w:vertAlign w:val="superscript"/>
        </w:rPr>
        <w:t>1/创建周期</w:t>
      </w:r>
      <w:r>
        <w:rPr>
          <w:rFonts w:ascii="Times New Roman" w:hAnsi="Times New Roman" w:eastAsia="仿宋" w:cs="宋体"/>
          <w:color w:val="000000"/>
          <w:kern w:val="0"/>
          <w:sz w:val="32"/>
          <w:szCs w:val="32"/>
        </w:rPr>
        <w:t>]×100%。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3、</w:t>
      </w:r>
      <w:r>
        <w:rPr>
          <w:rFonts w:ascii="Times New Roman" w:hAnsi="Times New Roman" w:eastAsia="仿宋" w:cs="宋体"/>
          <w:color w:val="000000"/>
          <w:kern w:val="0"/>
          <w:sz w:val="32"/>
          <w:szCs w:val="32"/>
        </w:rPr>
        <w:t>单位工业增加值废水排放量</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指标解释：指园区单位工业增加值排放的工业废水量，不包括企业梯级利用的废水和园区内居民排放的生活废水。</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计算公式：单位工业增加值废水排放量（t/万元）=园区工业废水排放总量（t）/园区工业增加值总量（万元）。</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4、</w:t>
      </w:r>
      <w:r>
        <w:rPr>
          <w:rFonts w:ascii="Times New Roman" w:hAnsi="Times New Roman" w:eastAsia="仿宋" w:cs="宋体"/>
          <w:color w:val="000000"/>
          <w:kern w:val="0"/>
          <w:sz w:val="32"/>
          <w:szCs w:val="32"/>
        </w:rPr>
        <w:t>主要污染物弹性系数</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指标解释：指园区内工业企业排放的各类主要污染物排放弹性系数的算术平均值。其中，主要污染物指从创建基准年到验收年，国家政策明确要求总量减排和控制的污染物，包括COD、SO</w:t>
      </w:r>
      <w:r>
        <w:rPr>
          <w:rFonts w:ascii="Times New Roman" w:hAnsi="Times New Roman" w:eastAsia="仿宋" w:cs="宋体"/>
          <w:color w:val="000000"/>
          <w:kern w:val="0"/>
          <w:sz w:val="32"/>
          <w:szCs w:val="32"/>
          <w:vertAlign w:val="subscript"/>
        </w:rPr>
        <w:t>2</w:t>
      </w:r>
      <w:r>
        <w:rPr>
          <w:rFonts w:ascii="Times New Roman" w:hAnsi="Times New Roman" w:eastAsia="仿宋" w:cs="宋体"/>
          <w:color w:val="000000"/>
          <w:kern w:val="0"/>
          <w:sz w:val="32"/>
          <w:szCs w:val="32"/>
        </w:rPr>
        <w:t>、氨氮、NO</w:t>
      </w:r>
      <w:r>
        <w:rPr>
          <w:rFonts w:ascii="Times New Roman" w:hAnsi="Times New Roman" w:eastAsia="仿宋" w:cs="宋体"/>
          <w:color w:val="000000"/>
          <w:kern w:val="0"/>
          <w:sz w:val="32"/>
          <w:szCs w:val="32"/>
          <w:vertAlign w:val="subscript"/>
        </w:rPr>
        <w:t>X</w:t>
      </w:r>
      <w:r>
        <w:rPr>
          <w:rFonts w:ascii="Times New Roman" w:hAnsi="Times New Roman" w:eastAsia="仿宋" w:cs="宋体"/>
          <w:color w:val="000000"/>
          <w:kern w:val="0"/>
          <w:sz w:val="32"/>
          <w:szCs w:val="32"/>
        </w:rPr>
        <w:t>等。某种主要污染物排放弹性系数，指园区内工业企业排放的某一种主要污染物排放总量的三年年均增长率与工业增加值三年年均增长率的比值。</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计算公式：某种污染物排放弹性系数=某种污染物排放量创建周期年均增长率（%）/园区工业增加值创建周期年均增长率（%）；主要污染物排放弹性系数=主要污染物排放弹性系数之和/污染物个数。</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5、</w:t>
      </w:r>
      <w:r>
        <w:rPr>
          <w:rFonts w:ascii="Times New Roman" w:hAnsi="Times New Roman" w:eastAsia="仿宋" w:cs="宋体"/>
          <w:color w:val="000000"/>
          <w:kern w:val="0"/>
          <w:sz w:val="32"/>
          <w:szCs w:val="32"/>
        </w:rPr>
        <w:t>园区空气质量优良率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指标解释：指空气质量优良天数占全年天数的比例。空气质量优良等级按照GB3085《环境空气质量标准》确定。</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6、</w:t>
      </w:r>
      <w:r>
        <w:rPr>
          <w:rFonts w:ascii="Times New Roman" w:hAnsi="Times New Roman" w:eastAsia="仿宋" w:cs="宋体"/>
          <w:color w:val="000000"/>
          <w:kern w:val="0"/>
          <w:sz w:val="32"/>
          <w:szCs w:val="32"/>
        </w:rPr>
        <w:t>绿化覆盖率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指标解释：园区内各类绿地总面积与园区规划范围内用地总面积的比值。</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计算公式：绿色覆盖率（%）=园区内各类绿地总面积（m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）/园区用地总面积（m</w:t>
      </w:r>
      <w:r>
        <w:rPr>
          <w:rFonts w:ascii="Times New Roman" w:hAnsi="Times New Roman" w:eastAsia="仿宋" w:cs="宋体"/>
          <w:color w:val="000000"/>
          <w:kern w:val="0"/>
          <w:sz w:val="32"/>
          <w:szCs w:val="32"/>
          <w:vertAlign w:val="superscript"/>
        </w:rPr>
        <w:t>2</w:t>
      </w:r>
      <w:r>
        <w:rPr>
          <w:rFonts w:ascii="Times New Roman" w:hAnsi="Times New Roman" w:eastAsia="仿宋" w:cs="宋体"/>
          <w:color w:val="000000"/>
          <w:kern w:val="0"/>
          <w:sz w:val="32"/>
          <w:szCs w:val="32"/>
        </w:rPr>
        <w:t>）×100%。</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（六）</w:t>
      </w:r>
      <w:r>
        <w:rPr>
          <w:rFonts w:ascii="Times New Roman" w:hAnsi="Times New Roman" w:eastAsia="仿宋" w:cs="宋体"/>
          <w:color w:val="000000"/>
          <w:kern w:val="0"/>
          <w:sz w:val="32"/>
          <w:szCs w:val="32"/>
        </w:rPr>
        <w:t>运行管理绿色化指标</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运行管理绿色化指标包括绿色园区标准体系完善程度、编制绿色园区发展规划、绿色园区信息平台完善程度3个指标。</w:t>
      </w:r>
    </w:p>
    <w:p>
      <w:pPr>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w:t>
      </w:r>
      <w:r>
        <w:rPr>
          <w:rFonts w:ascii="Times New Roman" w:hAnsi="Times New Roman" w:eastAsia="仿宋" w:cs="宋体"/>
          <w:color w:val="000000"/>
          <w:kern w:val="0"/>
          <w:sz w:val="32"/>
          <w:szCs w:val="32"/>
        </w:rPr>
        <w:t>绿色园区标准体系完善程度</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2</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编制绿色园区发展规划</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指标解释：按照本实施方案的创建内容编制绿色园区发展规划，原则上每五年编制一次。</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3</w:t>
      </w:r>
      <w:r>
        <w:rPr>
          <w:rFonts w:hint="eastAsia" w:ascii="Times New Roman" w:hAnsi="Times New Roman" w:eastAsia="仿宋" w:cs="宋体"/>
          <w:color w:val="000000"/>
          <w:kern w:val="0"/>
          <w:sz w:val="32"/>
          <w:szCs w:val="32"/>
        </w:rPr>
        <w:t>、</w:t>
      </w:r>
      <w:r>
        <w:rPr>
          <w:rFonts w:ascii="Times New Roman" w:hAnsi="Times New Roman" w:eastAsia="仿宋" w:cs="宋体"/>
          <w:color w:val="000000"/>
          <w:kern w:val="0"/>
          <w:sz w:val="32"/>
          <w:szCs w:val="32"/>
        </w:rPr>
        <w:t>绿色园区信息平台完善程度</w:t>
      </w:r>
    </w:p>
    <w:p>
      <w:pPr>
        <w:spacing w:line="360" w:lineRule="auto"/>
        <w:ind w:firstLine="640" w:firstLineChars="200"/>
        <w:rPr>
          <w:rFonts w:ascii="Times New Roman" w:hAnsi="Times New Roman" w:eastAsia="仿宋" w:cs="宋体"/>
          <w:color w:val="000000"/>
          <w:kern w:val="0"/>
          <w:sz w:val="32"/>
          <w:szCs w:val="32"/>
        </w:rPr>
      </w:pPr>
      <w:r>
        <w:rPr>
          <w:rFonts w:ascii="Times New Roman" w:hAnsi="Times New Roman" w:eastAsia="仿宋" w:cs="宋体"/>
          <w:color w:val="000000"/>
          <w:kern w:val="0"/>
          <w:sz w:val="32"/>
          <w:szCs w:val="32"/>
        </w:rPr>
        <w:t>指标解释：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p>
      <w:pPr>
        <w:widowControl/>
        <w:spacing w:line="360" w:lineRule="auto"/>
        <w:ind w:firstLine="640" w:firstLineChars="200"/>
        <w:rPr>
          <w:rFonts w:ascii="Times New Roman" w:hAnsi="Times New Roman" w:eastAsia="仿宋" w:cs="宋体"/>
          <w:color w:val="000000"/>
          <w:kern w:val="0"/>
          <w:sz w:val="32"/>
          <w:szCs w:val="32"/>
        </w:rPr>
      </w:pPr>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Helvetica Neue">
    <w:altName w:val="DejaVu Math TeX Gyre"/>
    <w:panose1 w:val="00000000000000000000"/>
    <w:charset w:val="00"/>
    <w:family w:val="auto"/>
    <w:pitch w:val="default"/>
    <w:sig w:usb0="00000000" w:usb1="00000000" w:usb2="00000000" w:usb3="00000000" w:csb0="00000001" w:csb1="00000000"/>
  </w:font>
  <w:font w:name="??_GB2312">
    <w:altName w:val="DejaVu Math TeX Gyre"/>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1CA"/>
    <w:rsid w:val="00003E5B"/>
    <w:rsid w:val="00007DDE"/>
    <w:rsid w:val="000224FA"/>
    <w:rsid w:val="00054B87"/>
    <w:rsid w:val="0005610F"/>
    <w:rsid w:val="00095AF2"/>
    <w:rsid w:val="001127AE"/>
    <w:rsid w:val="00152611"/>
    <w:rsid w:val="001723CC"/>
    <w:rsid w:val="001747B4"/>
    <w:rsid w:val="0018194A"/>
    <w:rsid w:val="00186951"/>
    <w:rsid w:val="001A0EDE"/>
    <w:rsid w:val="001A76B4"/>
    <w:rsid w:val="001B2BD2"/>
    <w:rsid w:val="001D4A33"/>
    <w:rsid w:val="001F6C9C"/>
    <w:rsid w:val="00210BF3"/>
    <w:rsid w:val="00211934"/>
    <w:rsid w:val="00254CC5"/>
    <w:rsid w:val="00276366"/>
    <w:rsid w:val="002D271C"/>
    <w:rsid w:val="002E1624"/>
    <w:rsid w:val="002E78A6"/>
    <w:rsid w:val="002F66E3"/>
    <w:rsid w:val="003304A7"/>
    <w:rsid w:val="00335565"/>
    <w:rsid w:val="00361D5A"/>
    <w:rsid w:val="00364279"/>
    <w:rsid w:val="003C7735"/>
    <w:rsid w:val="003D7458"/>
    <w:rsid w:val="003F771E"/>
    <w:rsid w:val="0040224E"/>
    <w:rsid w:val="00454367"/>
    <w:rsid w:val="00475C8B"/>
    <w:rsid w:val="004771EF"/>
    <w:rsid w:val="004B7342"/>
    <w:rsid w:val="004C5950"/>
    <w:rsid w:val="004E0156"/>
    <w:rsid w:val="004F5072"/>
    <w:rsid w:val="0050686A"/>
    <w:rsid w:val="00512B73"/>
    <w:rsid w:val="005364A1"/>
    <w:rsid w:val="00573A4F"/>
    <w:rsid w:val="005B4E80"/>
    <w:rsid w:val="005D5A9F"/>
    <w:rsid w:val="005E6E3D"/>
    <w:rsid w:val="005F3D75"/>
    <w:rsid w:val="005F6AFC"/>
    <w:rsid w:val="0061471E"/>
    <w:rsid w:val="006257D1"/>
    <w:rsid w:val="00626DF1"/>
    <w:rsid w:val="006312AE"/>
    <w:rsid w:val="00685230"/>
    <w:rsid w:val="0069409D"/>
    <w:rsid w:val="006A1750"/>
    <w:rsid w:val="006A3D58"/>
    <w:rsid w:val="006E4855"/>
    <w:rsid w:val="006E52C0"/>
    <w:rsid w:val="006F37A4"/>
    <w:rsid w:val="00741154"/>
    <w:rsid w:val="00754AAD"/>
    <w:rsid w:val="007D322B"/>
    <w:rsid w:val="007F21CA"/>
    <w:rsid w:val="008550F1"/>
    <w:rsid w:val="00865CE8"/>
    <w:rsid w:val="00872BAF"/>
    <w:rsid w:val="00895AE3"/>
    <w:rsid w:val="008F4E48"/>
    <w:rsid w:val="008F6A63"/>
    <w:rsid w:val="00902AB3"/>
    <w:rsid w:val="009168F2"/>
    <w:rsid w:val="00953C93"/>
    <w:rsid w:val="009B7AB5"/>
    <w:rsid w:val="009E0C0F"/>
    <w:rsid w:val="00A479C6"/>
    <w:rsid w:val="00AA56A6"/>
    <w:rsid w:val="00B749C5"/>
    <w:rsid w:val="00BA5398"/>
    <w:rsid w:val="00BB0EEC"/>
    <w:rsid w:val="00BC532E"/>
    <w:rsid w:val="00C337FC"/>
    <w:rsid w:val="00C52D26"/>
    <w:rsid w:val="00C646A0"/>
    <w:rsid w:val="00C772C3"/>
    <w:rsid w:val="00CB10C2"/>
    <w:rsid w:val="00CE38EC"/>
    <w:rsid w:val="00D54EFD"/>
    <w:rsid w:val="00D6256F"/>
    <w:rsid w:val="00E01AF5"/>
    <w:rsid w:val="00E80666"/>
    <w:rsid w:val="00E929C3"/>
    <w:rsid w:val="00E956BE"/>
    <w:rsid w:val="00EA484C"/>
    <w:rsid w:val="00EE4A20"/>
    <w:rsid w:val="00EF3A80"/>
    <w:rsid w:val="00F128AA"/>
    <w:rsid w:val="00F2510D"/>
    <w:rsid w:val="00F27494"/>
    <w:rsid w:val="00F72A9B"/>
    <w:rsid w:val="00F7791F"/>
    <w:rsid w:val="00F80EFC"/>
    <w:rsid w:val="00FC6F02"/>
    <w:rsid w:val="07E7D693"/>
    <w:rsid w:val="157FCDB1"/>
    <w:rsid w:val="15EB3135"/>
    <w:rsid w:val="15FF38F2"/>
    <w:rsid w:val="164F1495"/>
    <w:rsid w:val="177FD2A3"/>
    <w:rsid w:val="1B9F78A8"/>
    <w:rsid w:val="1CFE7C17"/>
    <w:rsid w:val="1EDF000B"/>
    <w:rsid w:val="1EF7A981"/>
    <w:rsid w:val="1EFF1030"/>
    <w:rsid w:val="1F4EDF1D"/>
    <w:rsid w:val="23AFC7D9"/>
    <w:rsid w:val="27FEB1DE"/>
    <w:rsid w:val="2C5AF534"/>
    <w:rsid w:val="2F743D70"/>
    <w:rsid w:val="2FBD518C"/>
    <w:rsid w:val="2FEB8B20"/>
    <w:rsid w:val="33EDAAE7"/>
    <w:rsid w:val="35AB90A3"/>
    <w:rsid w:val="35FF4F13"/>
    <w:rsid w:val="36BD17DF"/>
    <w:rsid w:val="37F935EF"/>
    <w:rsid w:val="37FFEA8D"/>
    <w:rsid w:val="3AE7D9E9"/>
    <w:rsid w:val="3AEE3314"/>
    <w:rsid w:val="3AFBDB50"/>
    <w:rsid w:val="3B5D0DDA"/>
    <w:rsid w:val="3B9F3FAE"/>
    <w:rsid w:val="3BDEA1D3"/>
    <w:rsid w:val="3D3757E6"/>
    <w:rsid w:val="3D7B7DA4"/>
    <w:rsid w:val="3D7F477E"/>
    <w:rsid w:val="3EAFA35D"/>
    <w:rsid w:val="3EB78CAA"/>
    <w:rsid w:val="3EBB9FAE"/>
    <w:rsid w:val="3EBD02F7"/>
    <w:rsid w:val="3EBEA401"/>
    <w:rsid w:val="3EF75AD8"/>
    <w:rsid w:val="3EFACADE"/>
    <w:rsid w:val="3F6FCCD4"/>
    <w:rsid w:val="3F76306B"/>
    <w:rsid w:val="3F8F2207"/>
    <w:rsid w:val="3F9BD089"/>
    <w:rsid w:val="3FC16CEB"/>
    <w:rsid w:val="3FDD6C10"/>
    <w:rsid w:val="436FF342"/>
    <w:rsid w:val="43DFAEA9"/>
    <w:rsid w:val="47AA5552"/>
    <w:rsid w:val="499FF176"/>
    <w:rsid w:val="4A6F1338"/>
    <w:rsid w:val="4BBF86D9"/>
    <w:rsid w:val="4BE26369"/>
    <w:rsid w:val="4C8FC2EF"/>
    <w:rsid w:val="4EED58E5"/>
    <w:rsid w:val="4F7C03B8"/>
    <w:rsid w:val="4F9C8896"/>
    <w:rsid w:val="4FE5A9A4"/>
    <w:rsid w:val="4FF602A7"/>
    <w:rsid w:val="537F9B90"/>
    <w:rsid w:val="53FAA19B"/>
    <w:rsid w:val="545F0445"/>
    <w:rsid w:val="55F979CA"/>
    <w:rsid w:val="56EDA4D5"/>
    <w:rsid w:val="577A3A96"/>
    <w:rsid w:val="57DD3CE4"/>
    <w:rsid w:val="57F735E4"/>
    <w:rsid w:val="57FFDD0D"/>
    <w:rsid w:val="59FEB342"/>
    <w:rsid w:val="5AEF275D"/>
    <w:rsid w:val="5B579AFC"/>
    <w:rsid w:val="5CEF3AB6"/>
    <w:rsid w:val="5DFEBF30"/>
    <w:rsid w:val="5E7704F6"/>
    <w:rsid w:val="5E7F28A8"/>
    <w:rsid w:val="5EBF4530"/>
    <w:rsid w:val="5EDBEC52"/>
    <w:rsid w:val="5EFDDB3C"/>
    <w:rsid w:val="5F5D4D54"/>
    <w:rsid w:val="5F7D25A1"/>
    <w:rsid w:val="5F7FFF40"/>
    <w:rsid w:val="5FBEAC75"/>
    <w:rsid w:val="5FDF15F4"/>
    <w:rsid w:val="5FEB628B"/>
    <w:rsid w:val="5FEFFDB1"/>
    <w:rsid w:val="5FF56370"/>
    <w:rsid w:val="5FFB93C4"/>
    <w:rsid w:val="5FFF318A"/>
    <w:rsid w:val="617F7A87"/>
    <w:rsid w:val="62D35635"/>
    <w:rsid w:val="633C4D64"/>
    <w:rsid w:val="64363B46"/>
    <w:rsid w:val="65C7FE0F"/>
    <w:rsid w:val="66FDD8A1"/>
    <w:rsid w:val="67BBE631"/>
    <w:rsid w:val="67EE21C2"/>
    <w:rsid w:val="6AB98C0F"/>
    <w:rsid w:val="6D4F024C"/>
    <w:rsid w:val="6DEEE69D"/>
    <w:rsid w:val="6DF573FB"/>
    <w:rsid w:val="6E3E48A8"/>
    <w:rsid w:val="6E77D7C9"/>
    <w:rsid w:val="6EAFC893"/>
    <w:rsid w:val="6EDF3422"/>
    <w:rsid w:val="6EFFBE36"/>
    <w:rsid w:val="6F179B8B"/>
    <w:rsid w:val="6FEDAF89"/>
    <w:rsid w:val="6FEE2EAC"/>
    <w:rsid w:val="6FF3C6EA"/>
    <w:rsid w:val="6FF51F74"/>
    <w:rsid w:val="6FFD3068"/>
    <w:rsid w:val="72ABC566"/>
    <w:rsid w:val="736D9DF6"/>
    <w:rsid w:val="737EB5BE"/>
    <w:rsid w:val="73F706A8"/>
    <w:rsid w:val="73FEF2E2"/>
    <w:rsid w:val="743B30D7"/>
    <w:rsid w:val="74A18D36"/>
    <w:rsid w:val="75AF8A1D"/>
    <w:rsid w:val="75CF688E"/>
    <w:rsid w:val="75FB5B9A"/>
    <w:rsid w:val="75FD2687"/>
    <w:rsid w:val="75FF13E9"/>
    <w:rsid w:val="766E16AB"/>
    <w:rsid w:val="7755B8E8"/>
    <w:rsid w:val="775F03C7"/>
    <w:rsid w:val="777AEC8E"/>
    <w:rsid w:val="777BA85A"/>
    <w:rsid w:val="77CF620D"/>
    <w:rsid w:val="77DF0644"/>
    <w:rsid w:val="77DF40E9"/>
    <w:rsid w:val="77E1C2A7"/>
    <w:rsid w:val="77F8D255"/>
    <w:rsid w:val="77FBB9E0"/>
    <w:rsid w:val="77FCFD68"/>
    <w:rsid w:val="77FDDA59"/>
    <w:rsid w:val="77FDEC76"/>
    <w:rsid w:val="78F88680"/>
    <w:rsid w:val="7979D777"/>
    <w:rsid w:val="79B0B21B"/>
    <w:rsid w:val="7A3B69F3"/>
    <w:rsid w:val="7A4FF0E7"/>
    <w:rsid w:val="7A6FDEE8"/>
    <w:rsid w:val="7AE681D3"/>
    <w:rsid w:val="7AF7C81D"/>
    <w:rsid w:val="7AF7F6F0"/>
    <w:rsid w:val="7B0F41EE"/>
    <w:rsid w:val="7B0FDA47"/>
    <w:rsid w:val="7B5AE92B"/>
    <w:rsid w:val="7B5BD0B2"/>
    <w:rsid w:val="7B5DA148"/>
    <w:rsid w:val="7B5F8C06"/>
    <w:rsid w:val="7B73833D"/>
    <w:rsid w:val="7B9F9BC2"/>
    <w:rsid w:val="7BB47651"/>
    <w:rsid w:val="7BB79E37"/>
    <w:rsid w:val="7BBD4A6B"/>
    <w:rsid w:val="7BDE8A29"/>
    <w:rsid w:val="7BDEC59E"/>
    <w:rsid w:val="7BF38503"/>
    <w:rsid w:val="7BF5B9F3"/>
    <w:rsid w:val="7BF742D6"/>
    <w:rsid w:val="7BFBCB54"/>
    <w:rsid w:val="7BFF121B"/>
    <w:rsid w:val="7CFF1C06"/>
    <w:rsid w:val="7D1C33DE"/>
    <w:rsid w:val="7D6FE42A"/>
    <w:rsid w:val="7D7FEF96"/>
    <w:rsid w:val="7D97111F"/>
    <w:rsid w:val="7DBEB832"/>
    <w:rsid w:val="7DC301E2"/>
    <w:rsid w:val="7DDF7BF2"/>
    <w:rsid w:val="7DE88F91"/>
    <w:rsid w:val="7DFF091B"/>
    <w:rsid w:val="7E3F9671"/>
    <w:rsid w:val="7E773CDB"/>
    <w:rsid w:val="7E7B35CE"/>
    <w:rsid w:val="7EEB2630"/>
    <w:rsid w:val="7EF75F90"/>
    <w:rsid w:val="7EFCBFD1"/>
    <w:rsid w:val="7EFDC8DC"/>
    <w:rsid w:val="7EFDCBC7"/>
    <w:rsid w:val="7EFF2D50"/>
    <w:rsid w:val="7F2A3B86"/>
    <w:rsid w:val="7F2E916A"/>
    <w:rsid w:val="7F336310"/>
    <w:rsid w:val="7F3CB16D"/>
    <w:rsid w:val="7F64B744"/>
    <w:rsid w:val="7F7E9F96"/>
    <w:rsid w:val="7F868E0C"/>
    <w:rsid w:val="7F9EFEC1"/>
    <w:rsid w:val="7F9F3E8F"/>
    <w:rsid w:val="7F9FBC2A"/>
    <w:rsid w:val="7FABB9F3"/>
    <w:rsid w:val="7FAF93AB"/>
    <w:rsid w:val="7FBAC0B4"/>
    <w:rsid w:val="7FBB0ED4"/>
    <w:rsid w:val="7FBB5424"/>
    <w:rsid w:val="7FBDE50B"/>
    <w:rsid w:val="7FBED362"/>
    <w:rsid w:val="7FCFEDF1"/>
    <w:rsid w:val="7FD60DAE"/>
    <w:rsid w:val="7FDF8897"/>
    <w:rsid w:val="7FDF9B26"/>
    <w:rsid w:val="7FE781C1"/>
    <w:rsid w:val="7FEE0BDE"/>
    <w:rsid w:val="7FEF87D6"/>
    <w:rsid w:val="7FF2BAE1"/>
    <w:rsid w:val="7FF33BBF"/>
    <w:rsid w:val="7FF38A73"/>
    <w:rsid w:val="7FF7565E"/>
    <w:rsid w:val="7FF76FDA"/>
    <w:rsid w:val="7FF7DCA6"/>
    <w:rsid w:val="7FFBCE48"/>
    <w:rsid w:val="7FFBE788"/>
    <w:rsid w:val="7FFC2922"/>
    <w:rsid w:val="7FFCDDB3"/>
    <w:rsid w:val="7FFD1565"/>
    <w:rsid w:val="7FFDF9CE"/>
    <w:rsid w:val="7FFF3723"/>
    <w:rsid w:val="7FFF3DD6"/>
    <w:rsid w:val="7FFF6405"/>
    <w:rsid w:val="8BEF298E"/>
    <w:rsid w:val="8DDC0EA2"/>
    <w:rsid w:val="8EDFC697"/>
    <w:rsid w:val="8FFD3A3C"/>
    <w:rsid w:val="92F5AF4C"/>
    <w:rsid w:val="93B3C9A9"/>
    <w:rsid w:val="995BCDC7"/>
    <w:rsid w:val="9CB85532"/>
    <w:rsid w:val="9D3E8163"/>
    <w:rsid w:val="9D7FD296"/>
    <w:rsid w:val="9DDDB62B"/>
    <w:rsid w:val="9E7D255A"/>
    <w:rsid w:val="9F7F1262"/>
    <w:rsid w:val="9FCFEFE3"/>
    <w:rsid w:val="9FDB4485"/>
    <w:rsid w:val="9FDEE370"/>
    <w:rsid w:val="9FEB4A98"/>
    <w:rsid w:val="9FFF70D2"/>
    <w:rsid w:val="A3BDBEFC"/>
    <w:rsid w:val="A7BE3FD3"/>
    <w:rsid w:val="ABDF3A54"/>
    <w:rsid w:val="AD1B0403"/>
    <w:rsid w:val="ADFBE52C"/>
    <w:rsid w:val="AFBEDD44"/>
    <w:rsid w:val="AFD67E67"/>
    <w:rsid w:val="AFFFF469"/>
    <w:rsid w:val="B1771EFA"/>
    <w:rsid w:val="B3FF8C3F"/>
    <w:rsid w:val="B7B2921D"/>
    <w:rsid w:val="B7CF2BA2"/>
    <w:rsid w:val="B7FBB179"/>
    <w:rsid w:val="B8FD223E"/>
    <w:rsid w:val="B9AEACB7"/>
    <w:rsid w:val="BBBEC802"/>
    <w:rsid w:val="BD2D65DE"/>
    <w:rsid w:val="BEEA323E"/>
    <w:rsid w:val="BEFBCD8C"/>
    <w:rsid w:val="BF23F906"/>
    <w:rsid w:val="BF3F7561"/>
    <w:rsid w:val="BF55D01F"/>
    <w:rsid w:val="BFCFE205"/>
    <w:rsid w:val="BFDB6031"/>
    <w:rsid w:val="BFED6DCD"/>
    <w:rsid w:val="BFF714D3"/>
    <w:rsid w:val="BFFF2E0A"/>
    <w:rsid w:val="BFFFCF66"/>
    <w:rsid w:val="BFFFDBAE"/>
    <w:rsid w:val="BFFFEE5A"/>
    <w:rsid w:val="C1E90E4A"/>
    <w:rsid w:val="C7EED084"/>
    <w:rsid w:val="CA16D769"/>
    <w:rsid w:val="CB7C9CC3"/>
    <w:rsid w:val="CDD7D354"/>
    <w:rsid w:val="CEB5DD83"/>
    <w:rsid w:val="CEEE5085"/>
    <w:rsid w:val="CEF58C51"/>
    <w:rsid w:val="CEF84FBE"/>
    <w:rsid w:val="CF5F9910"/>
    <w:rsid w:val="CF7F2371"/>
    <w:rsid w:val="CF7F7A4B"/>
    <w:rsid w:val="CFFC47D0"/>
    <w:rsid w:val="CFFE79E7"/>
    <w:rsid w:val="D4BB0102"/>
    <w:rsid w:val="D76F7531"/>
    <w:rsid w:val="D9AF6405"/>
    <w:rsid w:val="DAFF3062"/>
    <w:rsid w:val="DB3F3B14"/>
    <w:rsid w:val="DBF79BC3"/>
    <w:rsid w:val="DBF9C7D9"/>
    <w:rsid w:val="DBFB5B6F"/>
    <w:rsid w:val="DBFFC49E"/>
    <w:rsid w:val="DDBE5C5B"/>
    <w:rsid w:val="DDF9751B"/>
    <w:rsid w:val="DEF4B7A9"/>
    <w:rsid w:val="DF1DDFA9"/>
    <w:rsid w:val="DF5F60B0"/>
    <w:rsid w:val="DF7F7D99"/>
    <w:rsid w:val="DFBEAE8E"/>
    <w:rsid w:val="DFE7F03F"/>
    <w:rsid w:val="DFFD8289"/>
    <w:rsid w:val="DFFD964F"/>
    <w:rsid w:val="DFFFEA07"/>
    <w:rsid w:val="E25E15DD"/>
    <w:rsid w:val="E3FF1050"/>
    <w:rsid w:val="E59FACEC"/>
    <w:rsid w:val="E5C75A2D"/>
    <w:rsid w:val="E6BDF8C1"/>
    <w:rsid w:val="E7CF2CF9"/>
    <w:rsid w:val="E7D24A45"/>
    <w:rsid w:val="E8F7E4F8"/>
    <w:rsid w:val="E97FB374"/>
    <w:rsid w:val="E9EE8CF7"/>
    <w:rsid w:val="EAAC2987"/>
    <w:rsid w:val="EABE10D8"/>
    <w:rsid w:val="EAFB61A9"/>
    <w:rsid w:val="EB2B18EB"/>
    <w:rsid w:val="EB6F51EB"/>
    <w:rsid w:val="EB7744FB"/>
    <w:rsid w:val="EB79E592"/>
    <w:rsid w:val="EBD54993"/>
    <w:rsid w:val="EBFE5541"/>
    <w:rsid w:val="EDED8F25"/>
    <w:rsid w:val="EDF45CD4"/>
    <w:rsid w:val="EDFF5858"/>
    <w:rsid w:val="EEF37E0F"/>
    <w:rsid w:val="EEFFD90A"/>
    <w:rsid w:val="EF5E3BB7"/>
    <w:rsid w:val="EF760011"/>
    <w:rsid w:val="EF9D7BC4"/>
    <w:rsid w:val="EFBEE12F"/>
    <w:rsid w:val="EFF639D4"/>
    <w:rsid w:val="EFFBD83D"/>
    <w:rsid w:val="EFFD2DC9"/>
    <w:rsid w:val="EFFDFEDB"/>
    <w:rsid w:val="EFFEF3D2"/>
    <w:rsid w:val="EFFF76D4"/>
    <w:rsid w:val="F1BBF128"/>
    <w:rsid w:val="F1FF0FBF"/>
    <w:rsid w:val="F37F270D"/>
    <w:rsid w:val="F39BCDF8"/>
    <w:rsid w:val="F3D8DC51"/>
    <w:rsid w:val="F3D9BB4A"/>
    <w:rsid w:val="F3DECA9A"/>
    <w:rsid w:val="F4B671A5"/>
    <w:rsid w:val="F4FDCAA2"/>
    <w:rsid w:val="F5632FC5"/>
    <w:rsid w:val="F57706E5"/>
    <w:rsid w:val="F6BDFDFA"/>
    <w:rsid w:val="F6DB375D"/>
    <w:rsid w:val="F6DD729B"/>
    <w:rsid w:val="F6F78DE8"/>
    <w:rsid w:val="F7790843"/>
    <w:rsid w:val="F79D50A2"/>
    <w:rsid w:val="F7A550F6"/>
    <w:rsid w:val="F7A7065C"/>
    <w:rsid w:val="F7BC4B99"/>
    <w:rsid w:val="F7CE6F55"/>
    <w:rsid w:val="F7EF197F"/>
    <w:rsid w:val="F7FB16CD"/>
    <w:rsid w:val="F7FFF4F4"/>
    <w:rsid w:val="F96D6FC2"/>
    <w:rsid w:val="F9BA1773"/>
    <w:rsid w:val="F9F7F886"/>
    <w:rsid w:val="FA7F3FA4"/>
    <w:rsid w:val="FA9F5952"/>
    <w:rsid w:val="FAE66EAB"/>
    <w:rsid w:val="FAEFC0D3"/>
    <w:rsid w:val="FB735728"/>
    <w:rsid w:val="FB7F1E96"/>
    <w:rsid w:val="FBDBDFEF"/>
    <w:rsid w:val="FBE7AF64"/>
    <w:rsid w:val="FBE99EEF"/>
    <w:rsid w:val="FBEBEDE1"/>
    <w:rsid w:val="FBF78C89"/>
    <w:rsid w:val="FBF9B619"/>
    <w:rsid w:val="FBFBA521"/>
    <w:rsid w:val="FBFE5CB7"/>
    <w:rsid w:val="FBFE65F7"/>
    <w:rsid w:val="FBFF01B5"/>
    <w:rsid w:val="FBFFC913"/>
    <w:rsid w:val="FCBB30A8"/>
    <w:rsid w:val="FD53E24D"/>
    <w:rsid w:val="FD6F68E4"/>
    <w:rsid w:val="FD7B5215"/>
    <w:rsid w:val="FDC34CCC"/>
    <w:rsid w:val="FDDE2135"/>
    <w:rsid w:val="FDDF932E"/>
    <w:rsid w:val="FDED93C6"/>
    <w:rsid w:val="FE368E18"/>
    <w:rsid w:val="FE3F2352"/>
    <w:rsid w:val="FE73202F"/>
    <w:rsid w:val="FEBE71A1"/>
    <w:rsid w:val="FEEADE92"/>
    <w:rsid w:val="FEFC7040"/>
    <w:rsid w:val="FEFE94CE"/>
    <w:rsid w:val="FEFFA0BB"/>
    <w:rsid w:val="FEFFFFFE"/>
    <w:rsid w:val="FF1E83F5"/>
    <w:rsid w:val="FF3B9AE4"/>
    <w:rsid w:val="FF47C58A"/>
    <w:rsid w:val="FF58B72A"/>
    <w:rsid w:val="FF5F62AA"/>
    <w:rsid w:val="FF6BE8A5"/>
    <w:rsid w:val="FF717407"/>
    <w:rsid w:val="FF788520"/>
    <w:rsid w:val="FF7BC6B0"/>
    <w:rsid w:val="FF7D2214"/>
    <w:rsid w:val="FF7E6F31"/>
    <w:rsid w:val="FF9F12B0"/>
    <w:rsid w:val="FFBFF86B"/>
    <w:rsid w:val="FFBFFC7B"/>
    <w:rsid w:val="FFC10B52"/>
    <w:rsid w:val="FFDECAFA"/>
    <w:rsid w:val="FFDFB05A"/>
    <w:rsid w:val="FFDFEDC8"/>
    <w:rsid w:val="FFE7978F"/>
    <w:rsid w:val="FFEF70D8"/>
    <w:rsid w:val="FFEFDC72"/>
    <w:rsid w:val="FFF3409B"/>
    <w:rsid w:val="FFFF5720"/>
    <w:rsid w:val="FFFF66EA"/>
    <w:rsid w:val="FFFFE0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3"/>
    <w:qFormat/>
    <w:locked/>
    <w:uiPriority w:val="99"/>
    <w:rPr>
      <w:rFonts w:cs="Times New Roman"/>
      <w:sz w:val="18"/>
      <w:szCs w:val="18"/>
    </w:rPr>
  </w:style>
  <w:style w:type="character" w:customStyle="1" w:styleId="9">
    <w:name w:val="页脚 字符"/>
    <w:link w:val="2"/>
    <w:qFormat/>
    <w:locked/>
    <w:uiPriority w:val="99"/>
    <w:rPr>
      <w:rFonts w:cs="Times New Roman"/>
      <w:sz w:val="18"/>
      <w:szCs w:val="18"/>
    </w:rPr>
  </w:style>
  <w:style w:type="paragraph" w:customStyle="1" w:styleId="10">
    <w:name w:val="列出段落1"/>
    <w:basedOn w:val="1"/>
    <w:qFormat/>
    <w:uiPriority w:val="0"/>
    <w:pPr>
      <w:ind w:firstLine="420" w:firstLineChars="200"/>
    </w:p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hAnsi="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980</Words>
  <Characters>5591</Characters>
  <Lines>46</Lines>
  <Paragraphs>13</Paragraphs>
  <TotalTime>119</TotalTime>
  <ScaleCrop>false</ScaleCrop>
  <LinksUpToDate>false</LinksUpToDate>
  <CharactersWithSpaces>6558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2017-08-25T09:31:00Z</dcterms:created>
  <dc:creator>Administrator</dc:creator>
  <cp:lastModifiedBy> </cp:lastModifiedBy>
  <cp:lastPrinted>2024-01-12T10:03:24Z</cp:lastPrinted>
  <dcterms:modified xsi:type="dcterms:W3CDTF">2024-01-12T10:03:26Z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